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41BC4" w14:textId="77777777" w:rsidR="00F26ECD" w:rsidRPr="00595E70" w:rsidRDefault="00F26ECD" w:rsidP="001E1BFF">
      <w:pPr>
        <w:jc w:val="both"/>
        <w:outlineLvl w:val="0"/>
        <w:rPr>
          <w:b/>
        </w:rPr>
      </w:pPr>
    </w:p>
    <w:p w14:paraId="6079FFA6" w14:textId="77777777" w:rsidR="00F26ECD" w:rsidRPr="00595E70" w:rsidRDefault="00F26ECD" w:rsidP="001E1BFF">
      <w:pPr>
        <w:jc w:val="both"/>
        <w:outlineLvl w:val="0"/>
        <w:rPr>
          <w:b/>
        </w:rPr>
      </w:pPr>
    </w:p>
    <w:p w14:paraId="43516E27" w14:textId="77777777" w:rsidR="001A1C63" w:rsidRPr="000B39F3" w:rsidRDefault="005A4A5E" w:rsidP="001E1BFF">
      <w:pPr>
        <w:jc w:val="both"/>
        <w:outlineLvl w:val="0"/>
        <w:rPr>
          <w:b/>
        </w:rPr>
      </w:pPr>
      <w:r w:rsidRPr="000B39F3">
        <w:rPr>
          <w:b/>
        </w:rPr>
        <w:t xml:space="preserve">IS THERE </w:t>
      </w:r>
      <w:r w:rsidR="00E84127" w:rsidRPr="000B39F3">
        <w:rPr>
          <w:b/>
        </w:rPr>
        <w:t>A</w:t>
      </w:r>
      <w:r w:rsidRPr="000B39F3">
        <w:rPr>
          <w:b/>
        </w:rPr>
        <w:t xml:space="preserve"> EU COPYRIGHT JURISPRUDENCE?</w:t>
      </w:r>
    </w:p>
    <w:p w14:paraId="25FBA8C2" w14:textId="77777777" w:rsidR="006104B6" w:rsidRPr="000B39F3" w:rsidRDefault="006104B6" w:rsidP="001E1BFF">
      <w:pPr>
        <w:jc w:val="both"/>
        <w:outlineLvl w:val="0"/>
        <w:rPr>
          <w:rFonts w:eastAsia="Times New Roman" w:cs="Times New Roman"/>
          <w:b/>
        </w:rPr>
      </w:pPr>
      <w:r w:rsidRPr="000B39F3">
        <w:rPr>
          <w:rFonts w:eastAsia="Times New Roman" w:cs="Times New Roman"/>
          <w:b/>
        </w:rPr>
        <w:t>An empirical analysis of the workings of the European Court of Justice</w:t>
      </w:r>
    </w:p>
    <w:p w14:paraId="4285E51B" w14:textId="77777777" w:rsidR="00BE7E0E" w:rsidRPr="000B39F3" w:rsidRDefault="00532BC5" w:rsidP="00F71F04">
      <w:pPr>
        <w:jc w:val="both"/>
        <w:outlineLvl w:val="0"/>
      </w:pPr>
      <w:r w:rsidRPr="000B39F3">
        <w:rPr>
          <w:rFonts w:eastAsia="Times New Roman" w:cs="Times New Roman"/>
          <w:i/>
          <w:sz w:val="20"/>
          <w:szCs w:val="20"/>
        </w:rPr>
        <w:t xml:space="preserve">Marcella </w:t>
      </w:r>
      <w:proofErr w:type="spellStart"/>
      <w:r w:rsidRPr="000B39F3">
        <w:rPr>
          <w:rFonts w:eastAsia="Times New Roman" w:cs="Times New Roman"/>
          <w:i/>
          <w:sz w:val="20"/>
          <w:szCs w:val="20"/>
        </w:rPr>
        <w:t>Favale</w:t>
      </w:r>
      <w:proofErr w:type="spellEnd"/>
      <w:r w:rsidRPr="000B39F3">
        <w:rPr>
          <w:rFonts w:eastAsia="Times New Roman" w:cs="Times New Roman"/>
          <w:i/>
          <w:sz w:val="20"/>
          <w:szCs w:val="20"/>
        </w:rPr>
        <w:t xml:space="preserve">, Martin </w:t>
      </w:r>
      <w:proofErr w:type="spellStart"/>
      <w:r w:rsidRPr="000B39F3">
        <w:rPr>
          <w:rFonts w:eastAsia="Times New Roman" w:cs="Times New Roman"/>
          <w:i/>
          <w:sz w:val="20"/>
          <w:szCs w:val="20"/>
        </w:rPr>
        <w:t>Kret</w:t>
      </w:r>
      <w:r w:rsidR="00BD420E" w:rsidRPr="000B39F3">
        <w:rPr>
          <w:rFonts w:eastAsia="Times New Roman" w:cs="Times New Roman"/>
          <w:i/>
          <w:sz w:val="20"/>
          <w:szCs w:val="20"/>
        </w:rPr>
        <w:t>sch</w:t>
      </w:r>
      <w:r w:rsidRPr="000B39F3">
        <w:rPr>
          <w:rFonts w:eastAsia="Times New Roman" w:cs="Times New Roman"/>
          <w:i/>
          <w:sz w:val="20"/>
          <w:szCs w:val="20"/>
        </w:rPr>
        <w:t>mer</w:t>
      </w:r>
      <w:proofErr w:type="spellEnd"/>
      <w:r w:rsidRPr="000B39F3">
        <w:rPr>
          <w:rFonts w:eastAsia="Times New Roman" w:cs="Times New Roman"/>
          <w:i/>
          <w:sz w:val="20"/>
          <w:szCs w:val="20"/>
        </w:rPr>
        <w:t xml:space="preserve"> and Paul C. </w:t>
      </w:r>
      <w:proofErr w:type="spellStart"/>
      <w:r w:rsidRPr="000B39F3">
        <w:rPr>
          <w:rFonts w:eastAsia="Times New Roman" w:cs="Times New Roman"/>
          <w:i/>
          <w:sz w:val="20"/>
          <w:szCs w:val="20"/>
        </w:rPr>
        <w:t>Torremans</w:t>
      </w:r>
      <w:proofErr w:type="spellEnd"/>
      <w:r w:rsidRPr="000B39F3">
        <w:rPr>
          <w:rStyle w:val="FootnoteReference"/>
          <w:rFonts w:eastAsia="Times New Roman" w:cs="Times New Roman"/>
        </w:rPr>
        <w:footnoteReference w:customMarkFollows="1" w:id="1"/>
        <w:t>*</w:t>
      </w:r>
    </w:p>
    <w:p w14:paraId="25B3135A" w14:textId="77777777" w:rsidR="00930525" w:rsidRPr="000B39F3" w:rsidRDefault="00930525" w:rsidP="00E91CF2">
      <w:pPr>
        <w:rPr>
          <w:i/>
        </w:rPr>
      </w:pPr>
    </w:p>
    <w:p w14:paraId="51BDEE99" w14:textId="77777777" w:rsidR="00A17B13" w:rsidRDefault="00A17B13" w:rsidP="006C699A">
      <w:pPr>
        <w:spacing w:line="360" w:lineRule="auto"/>
        <w:jc w:val="both"/>
        <w:rPr>
          <w:rFonts w:eastAsia="Times New Roman" w:cs="Times New Roman"/>
        </w:rPr>
      </w:pPr>
      <w:r>
        <w:rPr>
          <w:rFonts w:eastAsia="Times New Roman" w:cs="Times New Roman"/>
        </w:rPr>
        <w:t>Abstract:</w:t>
      </w:r>
    </w:p>
    <w:p w14:paraId="64EE498F" w14:textId="7E774237" w:rsidR="00992A2F" w:rsidRPr="00A17B13" w:rsidRDefault="00992A2F" w:rsidP="00A17B13">
      <w:pPr>
        <w:jc w:val="both"/>
        <w:rPr>
          <w:rFonts w:eastAsia="Times New Roman" w:cs="Times New Roman"/>
          <w:i/>
        </w:rPr>
      </w:pPr>
      <w:r w:rsidRPr="00A17B13">
        <w:rPr>
          <w:rFonts w:eastAsia="Times New Roman" w:cs="Times New Roman"/>
          <w:i/>
        </w:rPr>
        <w:t>The Court of Justice of the European Union (ECJ) has been suspected of carrying out a harmonising agenda over and beyond the conventional law-interpreting function of the judiciary. This study aims to investigate empirically two theories in relation to the development of EU copyright law: (</w:t>
      </w:r>
      <w:proofErr w:type="spellStart"/>
      <w:r w:rsidRPr="00A17B13">
        <w:rPr>
          <w:rFonts w:eastAsia="Times New Roman" w:cs="Times New Roman"/>
          <w:i/>
        </w:rPr>
        <w:t>i</w:t>
      </w:r>
      <w:proofErr w:type="spellEnd"/>
      <w:r w:rsidRPr="00A17B13">
        <w:rPr>
          <w:rFonts w:eastAsia="Times New Roman" w:cs="Times New Roman"/>
          <w:i/>
        </w:rPr>
        <w:t>) that the Court has failed to develop a coherent copyright jurisprudence (lacking domain expertise, copyright specific reasoning, and predictability); (ii) that the Court has pursued an activist, harmonising agenda (resorting to teleological interpretation of European law rather than – less discretionary – semantic and systematic legal approaches).</w:t>
      </w:r>
      <w:r w:rsidRPr="00A17B13">
        <w:rPr>
          <w:rFonts w:eastAsia="Times New Roman" w:cs="Times New Roman"/>
          <w:i/>
        </w:rPr>
        <w:br/>
      </w:r>
      <w:r w:rsidRPr="00A17B13">
        <w:rPr>
          <w:rFonts w:eastAsia="Times New Roman" w:cs="Times New Roman"/>
          <w:i/>
        </w:rPr>
        <w:br/>
        <w:t xml:space="preserve">We have collected two data sets relating to all ECJ copyright and database cases up to </w:t>
      </w:r>
      <w:proofErr w:type="spellStart"/>
      <w:r w:rsidRPr="00A17B13">
        <w:rPr>
          <w:rFonts w:eastAsia="Times New Roman" w:cs="Times New Roman"/>
          <w:i/>
        </w:rPr>
        <w:t>Svensson</w:t>
      </w:r>
      <w:proofErr w:type="spellEnd"/>
      <w:r w:rsidRPr="00A17B13">
        <w:rPr>
          <w:rFonts w:eastAsia="Times New Roman" w:cs="Times New Roman"/>
          <w:i/>
        </w:rPr>
        <w:t xml:space="preserve"> (February 2014): (1) Statistics about the allocation of cases to chambers, the composition of chambers, the Judge Rapporteur, and Advocate General (including coding of the professional background of the personnel); (2) Content analysis of argumentative patterns in the decisions themselves, using a qualitative coding technique. Studying the relationship between (1) and (2) allows us to identify links between certain Chambers/ Court members and legal approaches, over time, and by subject. These shed light on the internal workings of the court, and also enable us to explore theories about the nature of ECJ jurisprudence.</w:t>
      </w:r>
    </w:p>
    <w:p w14:paraId="56E9B005" w14:textId="09601C1A" w:rsidR="0052254B" w:rsidRPr="00A17B13" w:rsidRDefault="00181C62" w:rsidP="00A17B13">
      <w:pPr>
        <w:jc w:val="both"/>
        <w:rPr>
          <w:i/>
        </w:rPr>
      </w:pPr>
      <w:r w:rsidRPr="00A17B13">
        <w:rPr>
          <w:i/>
        </w:rPr>
        <w:t xml:space="preserve">The </w:t>
      </w:r>
      <w:r w:rsidR="00992A2F" w:rsidRPr="00A17B13">
        <w:rPr>
          <w:i/>
        </w:rPr>
        <w:t>analysis</w:t>
      </w:r>
      <w:r w:rsidRPr="00A17B13">
        <w:rPr>
          <w:i/>
        </w:rPr>
        <w:t xml:space="preserve"> show</w:t>
      </w:r>
      <w:r w:rsidR="00992A2F" w:rsidRPr="00A17B13">
        <w:rPr>
          <w:i/>
        </w:rPr>
        <w:t>s</w:t>
      </w:r>
      <w:r w:rsidRPr="00A17B13">
        <w:rPr>
          <w:i/>
        </w:rPr>
        <w:t xml:space="preserve"> that private law and in particular intellectual property law expertise </w:t>
      </w:r>
      <w:r w:rsidR="007A4840" w:rsidRPr="00A17B13">
        <w:rPr>
          <w:i/>
        </w:rPr>
        <w:t xml:space="preserve">is </w:t>
      </w:r>
      <w:r w:rsidRPr="00A17B13">
        <w:rPr>
          <w:i/>
        </w:rPr>
        <w:t>almost entirely missing</w:t>
      </w:r>
      <w:r w:rsidR="007A4840" w:rsidRPr="00A17B13">
        <w:rPr>
          <w:i/>
        </w:rPr>
        <w:t xml:space="preserve"> from the Court</w:t>
      </w:r>
      <w:r w:rsidRPr="00A17B13">
        <w:rPr>
          <w:i/>
        </w:rPr>
        <w:t xml:space="preserve">. However, we find that the Court has developed a mechanism for enabling judicial learning through the systematic assignment of cases to certain Judges and AGs. We also find that </w:t>
      </w:r>
      <w:r w:rsidR="00B11BC4" w:rsidRPr="00A17B13">
        <w:rPr>
          <w:i/>
        </w:rPr>
        <w:t>the Court has developed a “</w:t>
      </w:r>
      <w:r w:rsidR="00365A3A" w:rsidRPr="00A17B13">
        <w:rPr>
          <w:i/>
        </w:rPr>
        <w:t>fair balance</w:t>
      </w:r>
      <w:r w:rsidR="00B11BC4" w:rsidRPr="00A17B13">
        <w:rPr>
          <w:i/>
        </w:rPr>
        <w:t xml:space="preserve">” </w:t>
      </w:r>
      <w:proofErr w:type="spellStart"/>
      <w:r w:rsidR="00B11BC4" w:rsidRPr="00A17B13">
        <w:rPr>
          <w:i/>
        </w:rPr>
        <w:t>topos</w:t>
      </w:r>
      <w:proofErr w:type="spellEnd"/>
      <w:r w:rsidR="006F15D9" w:rsidRPr="00A17B13">
        <w:rPr>
          <w:i/>
        </w:rPr>
        <w:t xml:space="preserve"> linked to J</w:t>
      </w:r>
      <w:r w:rsidR="007B3654" w:rsidRPr="00A17B13">
        <w:rPr>
          <w:i/>
        </w:rPr>
        <w:t>u</w:t>
      </w:r>
      <w:r w:rsidR="006516DA" w:rsidRPr="00A17B13">
        <w:rPr>
          <w:i/>
        </w:rPr>
        <w:t xml:space="preserve">dge </w:t>
      </w:r>
      <w:proofErr w:type="spellStart"/>
      <w:r w:rsidR="006516DA" w:rsidRPr="00A17B13">
        <w:rPr>
          <w:i/>
        </w:rPr>
        <w:t>Malenovský</w:t>
      </w:r>
      <w:proofErr w:type="spellEnd"/>
      <w:r w:rsidR="006516DA" w:rsidRPr="00A17B13">
        <w:rPr>
          <w:i/>
        </w:rPr>
        <w:t xml:space="preserve"> (rapporteur on 24</w:t>
      </w:r>
      <w:r w:rsidR="007B3654" w:rsidRPr="00A17B13">
        <w:rPr>
          <w:i/>
        </w:rPr>
        <w:t xml:space="preserve"> out of 40 copyright cases) </w:t>
      </w:r>
      <w:r w:rsidR="00B11BC4" w:rsidRPr="00A17B13">
        <w:rPr>
          <w:i/>
        </w:rPr>
        <w:t>that does not predict an</w:t>
      </w:r>
      <w:r w:rsidRPr="00A17B13">
        <w:rPr>
          <w:i/>
        </w:rPr>
        <w:t xml:space="preserve"> agenda of upward harmonisation, with about half of </w:t>
      </w:r>
      <w:r w:rsidR="00EF4A18" w:rsidRPr="00A17B13">
        <w:rPr>
          <w:i/>
        </w:rPr>
        <w:t>judgment</w:t>
      </w:r>
      <w:r w:rsidRPr="00A17B13">
        <w:rPr>
          <w:i/>
        </w:rPr>
        <w:t>s narrowing rather than widening the scope of copyright protection.</w:t>
      </w:r>
    </w:p>
    <w:p w14:paraId="4E6C7C7B" w14:textId="77777777" w:rsidR="00A17B13" w:rsidRDefault="00A17B13" w:rsidP="00F71F04">
      <w:pPr>
        <w:jc w:val="both"/>
      </w:pPr>
    </w:p>
    <w:p w14:paraId="516D5681" w14:textId="32F0604A" w:rsidR="006C699A" w:rsidRPr="000B39F3" w:rsidRDefault="006A6621" w:rsidP="00F71F04">
      <w:pPr>
        <w:jc w:val="both"/>
        <w:rPr>
          <w:u w:val="single"/>
        </w:rPr>
      </w:pPr>
      <w:r w:rsidRPr="000B39F3">
        <w:t xml:space="preserve">Keywords: </w:t>
      </w:r>
      <w:r w:rsidRPr="000B39F3">
        <w:rPr>
          <w:i/>
        </w:rPr>
        <w:t>Court of Justi</w:t>
      </w:r>
      <w:r w:rsidR="00AF00BC" w:rsidRPr="000B39F3">
        <w:rPr>
          <w:i/>
        </w:rPr>
        <w:t>ce of the European Union, CJEU, C</w:t>
      </w:r>
      <w:r w:rsidR="00AD397D" w:rsidRPr="000B39F3">
        <w:rPr>
          <w:i/>
        </w:rPr>
        <w:t xml:space="preserve">opyright, European jurisprudence, </w:t>
      </w:r>
      <w:r w:rsidR="00937342" w:rsidRPr="000B39F3">
        <w:rPr>
          <w:i/>
        </w:rPr>
        <w:t xml:space="preserve">Advocate General, </w:t>
      </w:r>
      <w:r w:rsidR="00AD397D" w:rsidRPr="000B39F3">
        <w:rPr>
          <w:i/>
        </w:rPr>
        <w:t>harmonization</w:t>
      </w:r>
      <w:r w:rsidR="00AF00BC" w:rsidRPr="000B39F3">
        <w:rPr>
          <w:i/>
        </w:rPr>
        <w:t>, European Union</w:t>
      </w:r>
      <w:r w:rsidR="005A4A5E" w:rsidRPr="000B39F3">
        <w:br/>
      </w:r>
    </w:p>
    <w:p w14:paraId="02354A3A" w14:textId="0A0509B6" w:rsidR="006C699A" w:rsidRPr="007E4FF0" w:rsidRDefault="006C699A" w:rsidP="006C699A">
      <w:pPr>
        <w:rPr>
          <w:rFonts w:cs="Times New Roman"/>
        </w:rPr>
      </w:pPr>
      <w:proofErr w:type="gramStart"/>
      <w:r>
        <w:rPr>
          <w:rFonts w:cs="Times New Roman"/>
        </w:rPr>
        <w:t xml:space="preserve">FORTHCOMING IN </w:t>
      </w:r>
      <w:r w:rsidRPr="007E4FF0">
        <w:rPr>
          <w:rFonts w:cs="Times New Roman"/>
          <w:b/>
        </w:rPr>
        <w:t>MODERN LAW REVIEW</w:t>
      </w:r>
      <w:r>
        <w:rPr>
          <w:rFonts w:cs="Times New Roman"/>
        </w:rPr>
        <w:t xml:space="preserve"> (2016).</w:t>
      </w:r>
      <w:proofErr w:type="gramEnd"/>
      <w:r>
        <w:rPr>
          <w:rFonts w:cs="Times New Roman"/>
        </w:rPr>
        <w:t xml:space="preserve"> </w:t>
      </w:r>
      <w:r w:rsidR="00B74313">
        <w:rPr>
          <w:rFonts w:cs="Times New Roman"/>
        </w:rPr>
        <w:br/>
        <w:t xml:space="preserve">Corresponding author: </w:t>
      </w:r>
      <w:hyperlink r:id="rId9" w:history="1">
        <w:r w:rsidRPr="00C121EE">
          <w:rPr>
            <w:rStyle w:val="Hyperlink"/>
            <w:rFonts w:cs="Times New Roman"/>
          </w:rPr>
          <w:t>martin.kretschmer@glasgow.ac.uk</w:t>
        </w:r>
      </w:hyperlink>
    </w:p>
    <w:p w14:paraId="620A54CD" w14:textId="094EDC7B" w:rsidR="000C19E1" w:rsidRPr="000B39F3" w:rsidRDefault="00BE7E0E" w:rsidP="00054F2A">
      <w:pPr>
        <w:jc w:val="center"/>
        <w:rPr>
          <w:b/>
        </w:rPr>
      </w:pPr>
      <w:r w:rsidRPr="000B39F3">
        <w:rPr>
          <w:u w:val="single"/>
        </w:rPr>
        <w:br w:type="page"/>
      </w:r>
      <w:r w:rsidR="00054F2A" w:rsidRPr="000B39F3">
        <w:rPr>
          <w:b/>
        </w:rPr>
        <w:lastRenderedPageBreak/>
        <w:t>INTRODUCTION</w:t>
      </w:r>
    </w:p>
    <w:p w14:paraId="416417A9" w14:textId="70E2640C" w:rsidR="00D531EC" w:rsidRPr="000B39F3" w:rsidRDefault="000C19E1" w:rsidP="001E1BFF">
      <w:pPr>
        <w:jc w:val="both"/>
        <w:outlineLvl w:val="0"/>
      </w:pPr>
      <w:r w:rsidRPr="000B39F3">
        <w:t xml:space="preserve">This </w:t>
      </w:r>
      <w:r w:rsidR="008E26E7" w:rsidRPr="000B39F3">
        <w:t>article</w:t>
      </w:r>
      <w:r w:rsidRPr="000B39F3">
        <w:t xml:space="preserve"> explores the origi</w:t>
      </w:r>
      <w:r w:rsidR="003D75B5" w:rsidRPr="000B39F3">
        <w:t>n of copyright jurisprudence in the European Union</w:t>
      </w:r>
      <w:r w:rsidR="008E26E7" w:rsidRPr="000B39F3">
        <w:t xml:space="preserve">. </w:t>
      </w:r>
      <w:r w:rsidR="004420BA" w:rsidRPr="000B39F3">
        <w:t>The role of the Court of Justice of the European Union</w:t>
      </w:r>
      <w:r w:rsidR="00D05923" w:rsidRPr="000B39F3">
        <w:t xml:space="preserve"> (ECJ)</w:t>
      </w:r>
      <w:r w:rsidR="00154D99" w:rsidRPr="000B39F3">
        <w:rPr>
          <w:rStyle w:val="FootnoteReference"/>
        </w:rPr>
        <w:footnoteReference w:id="2"/>
      </w:r>
      <w:r w:rsidR="004420BA" w:rsidRPr="000B39F3">
        <w:t xml:space="preserve"> in shaping this contested, and heavily lobbied field of law </w:t>
      </w:r>
      <w:r w:rsidR="00E71B6F" w:rsidRPr="000B39F3">
        <w:t>is attracting</w:t>
      </w:r>
      <w:r w:rsidR="004420BA" w:rsidRPr="000B39F3">
        <w:t xml:space="preserve"> considerable </w:t>
      </w:r>
      <w:r w:rsidR="00D531EC" w:rsidRPr="000B39F3">
        <w:t>attention</w:t>
      </w:r>
      <w:r w:rsidR="004420BA" w:rsidRPr="000B39F3">
        <w:t>. There</w:t>
      </w:r>
      <w:r w:rsidR="00FA728C" w:rsidRPr="000B39F3">
        <w:t xml:space="preserve"> </w:t>
      </w:r>
      <w:r w:rsidR="004420BA" w:rsidRPr="000B39F3">
        <w:t>has been a</w:t>
      </w:r>
      <w:r w:rsidR="00D531EC" w:rsidRPr="000B39F3">
        <w:t xml:space="preserve"> dramatic </w:t>
      </w:r>
      <w:r w:rsidR="007A4840" w:rsidRPr="000B39F3">
        <w:t xml:space="preserve">recent increase in references to the Court, with 6 cases filed in the 10 years following the Phil Collins case of 1992, </w:t>
      </w:r>
      <w:r w:rsidR="00273302" w:rsidRPr="000B39F3">
        <w:t>6</w:t>
      </w:r>
      <w:r w:rsidR="007A4840" w:rsidRPr="000B39F3">
        <w:t xml:space="preserve"> cases in the </w:t>
      </w:r>
      <w:r w:rsidR="00273302" w:rsidRPr="000B39F3">
        <w:t>5</w:t>
      </w:r>
      <w:r w:rsidR="007A4840" w:rsidRPr="000B39F3">
        <w:t xml:space="preserve"> years between 2002 and 2006, and </w:t>
      </w:r>
      <w:r w:rsidR="00273302" w:rsidRPr="000B39F3">
        <w:t>28</w:t>
      </w:r>
      <w:r w:rsidR="007A4840" w:rsidRPr="000B39F3">
        <w:t xml:space="preserve"> cases between 2007 and 2012. </w:t>
      </w:r>
      <w:r w:rsidR="003336D4" w:rsidRPr="000B39F3">
        <w:t>Critiques of</w:t>
      </w:r>
      <w:r w:rsidR="00FA728C" w:rsidRPr="000B39F3">
        <w:t xml:space="preserve"> </w:t>
      </w:r>
      <w:r w:rsidR="00E71B6F" w:rsidRPr="000B39F3">
        <w:t>this</w:t>
      </w:r>
      <w:r w:rsidR="007A4840" w:rsidRPr="000B39F3">
        <w:t xml:space="preserve"> emerging </w:t>
      </w:r>
      <w:r w:rsidR="00E71B6F" w:rsidRPr="000B39F3">
        <w:t xml:space="preserve">EU copyright </w:t>
      </w:r>
      <w:r w:rsidR="007A4840" w:rsidRPr="000B39F3">
        <w:t>jurisprudence</w:t>
      </w:r>
      <w:r w:rsidR="004420BA" w:rsidRPr="000B39F3">
        <w:t xml:space="preserve"> range from an alleged lack of </w:t>
      </w:r>
      <w:r w:rsidR="00E71B6F" w:rsidRPr="000B39F3">
        <w:t xml:space="preserve">judicial </w:t>
      </w:r>
      <w:r w:rsidR="004420BA" w:rsidRPr="000B39F3">
        <w:t xml:space="preserve">expertise in a technical </w:t>
      </w:r>
      <w:r w:rsidR="003336D4" w:rsidRPr="000B39F3">
        <w:t xml:space="preserve">and complex </w:t>
      </w:r>
      <w:r w:rsidR="004420BA" w:rsidRPr="000B39F3">
        <w:t xml:space="preserve">area of law to </w:t>
      </w:r>
      <w:r w:rsidR="0052254B" w:rsidRPr="000B39F3">
        <w:t xml:space="preserve">the pursuit of </w:t>
      </w:r>
      <w:r w:rsidR="004420BA" w:rsidRPr="000B39F3">
        <w:t xml:space="preserve">a barely veiled </w:t>
      </w:r>
      <w:r w:rsidR="00E71B6F" w:rsidRPr="000B39F3">
        <w:t xml:space="preserve">harmonising </w:t>
      </w:r>
      <w:r w:rsidR="004420BA" w:rsidRPr="000B39F3">
        <w:t xml:space="preserve">agenda, stepping in where the </w:t>
      </w:r>
      <w:r w:rsidR="007A4840" w:rsidRPr="000B39F3">
        <w:t xml:space="preserve">European </w:t>
      </w:r>
      <w:r w:rsidR="004420BA" w:rsidRPr="000B39F3">
        <w:t>legislator failed</w:t>
      </w:r>
      <w:r w:rsidR="00D531EC" w:rsidRPr="000B39F3">
        <w:t>.</w:t>
      </w:r>
      <w:r w:rsidR="000E4A43" w:rsidRPr="000B39F3">
        <w:rPr>
          <w:rStyle w:val="FootnoteReference"/>
        </w:rPr>
        <w:footnoteReference w:id="3"/>
      </w:r>
    </w:p>
    <w:p w14:paraId="37EC8A68" w14:textId="3EAE4F02" w:rsidR="00D531EC" w:rsidRPr="000B39F3" w:rsidRDefault="00F62E69" w:rsidP="00D531EC">
      <w:pPr>
        <w:jc w:val="both"/>
        <w:outlineLvl w:val="0"/>
        <w:rPr>
          <w:lang w:val="en-US"/>
        </w:rPr>
      </w:pPr>
      <w:r w:rsidRPr="000B39F3">
        <w:rPr>
          <w:lang w:val="en-US"/>
        </w:rPr>
        <w:t>T</w:t>
      </w:r>
      <w:r w:rsidR="00500D63" w:rsidRPr="000B39F3">
        <w:rPr>
          <w:lang w:val="en-US"/>
        </w:rPr>
        <w:t>he ECJ</w:t>
      </w:r>
      <w:r w:rsidR="0088039E" w:rsidRPr="000B39F3">
        <w:rPr>
          <w:lang w:val="en-US"/>
        </w:rPr>
        <w:t xml:space="preserve"> has been said to interfere with </w:t>
      </w:r>
      <w:r w:rsidR="002672B5" w:rsidRPr="000B39F3">
        <w:rPr>
          <w:lang w:val="en-US"/>
        </w:rPr>
        <w:t xml:space="preserve">established </w:t>
      </w:r>
      <w:r w:rsidR="00500D63" w:rsidRPr="000B39F3">
        <w:rPr>
          <w:lang w:val="en-US"/>
        </w:rPr>
        <w:t>copyright concepts (</w:t>
      </w:r>
      <w:r w:rsidR="002672B5" w:rsidRPr="000B39F3">
        <w:rPr>
          <w:lang w:val="en-US"/>
        </w:rPr>
        <w:t xml:space="preserve">for example, </w:t>
      </w:r>
      <w:r w:rsidR="00E017F4" w:rsidRPr="000B39F3">
        <w:rPr>
          <w:lang w:val="en-US"/>
        </w:rPr>
        <w:t xml:space="preserve">now </w:t>
      </w:r>
      <w:r w:rsidR="002672B5" w:rsidRPr="000B39F3">
        <w:rPr>
          <w:lang w:val="en-US"/>
        </w:rPr>
        <w:t>eq</w:t>
      </w:r>
      <w:r w:rsidR="00500D63" w:rsidRPr="000B39F3">
        <w:rPr>
          <w:lang w:val="en-US"/>
        </w:rPr>
        <w:t xml:space="preserve">uating “work” with “creativity”), </w:t>
      </w:r>
      <w:r w:rsidR="00500D63" w:rsidRPr="000B39F3">
        <w:t xml:space="preserve">and </w:t>
      </w:r>
      <w:r w:rsidR="00E017F4" w:rsidRPr="000B39F3">
        <w:t>to introduce</w:t>
      </w:r>
      <w:r w:rsidR="00500D63" w:rsidRPr="000B39F3">
        <w:t xml:space="preserve"> non-copyright concepts from human rights law, thus </w:t>
      </w:r>
      <w:r w:rsidR="00500D63" w:rsidRPr="000B39F3">
        <w:rPr>
          <w:lang w:val="en-US"/>
        </w:rPr>
        <w:t>removing tools from national courts.</w:t>
      </w:r>
      <w:bookmarkStart w:id="0" w:name="_Ref413417862"/>
      <w:r w:rsidR="00500D63" w:rsidRPr="000B39F3">
        <w:rPr>
          <w:rStyle w:val="FootnoteReference"/>
        </w:rPr>
        <w:footnoteReference w:id="4"/>
      </w:r>
      <w:bookmarkEnd w:id="0"/>
      <w:r w:rsidR="003838AA" w:rsidRPr="000B39F3">
        <w:rPr>
          <w:lang w:val="en-US"/>
        </w:rPr>
        <w:t xml:space="preserve"> </w:t>
      </w:r>
      <w:r w:rsidR="00C817B8" w:rsidRPr="000B39F3">
        <w:t>The lack of copyright specific reasoning</w:t>
      </w:r>
      <w:r w:rsidR="001E098F" w:rsidRPr="000B39F3">
        <w:t xml:space="preserve"> has </w:t>
      </w:r>
      <w:r w:rsidR="00C817B8" w:rsidRPr="000B39F3">
        <w:t>be</w:t>
      </w:r>
      <w:r w:rsidR="00A84107" w:rsidRPr="000B39F3">
        <w:t>e</w:t>
      </w:r>
      <w:r w:rsidR="001E098F" w:rsidRPr="000B39F3">
        <w:t>n</w:t>
      </w:r>
      <w:r w:rsidR="00C817B8" w:rsidRPr="000B39F3">
        <w:t xml:space="preserve"> attributed to a </w:t>
      </w:r>
      <w:r w:rsidR="00336396" w:rsidRPr="000B39F3">
        <w:t>‘</w:t>
      </w:r>
      <w:r w:rsidR="00C817B8" w:rsidRPr="000B39F3">
        <w:t>lack of experience</w:t>
      </w:r>
      <w:r w:rsidR="00336396" w:rsidRPr="000B39F3">
        <w:t>’</w:t>
      </w:r>
      <w:r w:rsidR="00C817B8" w:rsidRPr="000B39F3">
        <w:rPr>
          <w:rStyle w:val="FootnoteReference"/>
        </w:rPr>
        <w:footnoteReference w:id="5"/>
      </w:r>
      <w:r w:rsidR="001E098F" w:rsidRPr="000B39F3">
        <w:t xml:space="preserve"> a</w:t>
      </w:r>
      <w:r w:rsidR="001E098F" w:rsidRPr="000B39F3">
        <w:rPr>
          <w:lang w:val="en-US"/>
        </w:rPr>
        <w:t>s well as to deliberate</w:t>
      </w:r>
      <w:r w:rsidR="00C817B8" w:rsidRPr="000B39F3">
        <w:rPr>
          <w:lang w:val="en-US"/>
        </w:rPr>
        <w:t xml:space="preserve"> judicial intervention</w:t>
      </w:r>
      <w:r w:rsidR="003838AA" w:rsidRPr="000B39F3">
        <w:rPr>
          <w:lang w:val="en-US"/>
        </w:rPr>
        <w:t xml:space="preserve"> </w:t>
      </w:r>
      <w:r w:rsidR="00336396" w:rsidRPr="000B39F3">
        <w:rPr>
          <w:lang w:val="en-US"/>
        </w:rPr>
        <w:t>‘</w:t>
      </w:r>
      <w:r w:rsidR="00D42AD6" w:rsidRPr="000B39F3">
        <w:rPr>
          <w:lang w:val="en-US"/>
        </w:rPr>
        <w:t>to achieve a single market</w:t>
      </w:r>
      <w:r w:rsidR="00336396" w:rsidRPr="000B39F3">
        <w:rPr>
          <w:lang w:val="en-US"/>
        </w:rPr>
        <w:t>’</w:t>
      </w:r>
      <w:r w:rsidR="001E098F" w:rsidRPr="000B39F3">
        <w:rPr>
          <w:rStyle w:val="FootnoteReference"/>
          <w:lang w:val="en-US"/>
        </w:rPr>
        <w:footnoteReference w:id="6"/>
      </w:r>
      <w:r w:rsidR="00A84107" w:rsidRPr="000B39F3">
        <w:rPr>
          <w:lang w:val="en-US"/>
        </w:rPr>
        <w:t>.</w:t>
      </w:r>
      <w:r w:rsidR="00FA728C" w:rsidRPr="000B39F3">
        <w:rPr>
          <w:lang w:val="en-US"/>
        </w:rPr>
        <w:t xml:space="preserve"> </w:t>
      </w:r>
      <w:r w:rsidR="00504701" w:rsidRPr="000B39F3">
        <w:rPr>
          <w:lang w:val="en-US"/>
        </w:rPr>
        <w:t xml:space="preserve">Various </w:t>
      </w:r>
      <w:r w:rsidR="00FA728C" w:rsidRPr="000B39F3">
        <w:rPr>
          <w:lang w:val="en-US"/>
        </w:rPr>
        <w:t xml:space="preserve">harmonizing </w:t>
      </w:r>
      <w:r w:rsidR="003336D4" w:rsidRPr="000B39F3">
        <w:t xml:space="preserve">techniques </w:t>
      </w:r>
      <w:r w:rsidR="00504701" w:rsidRPr="000B39F3">
        <w:t>have been identified, including</w:t>
      </w:r>
      <w:r w:rsidR="00FA728C" w:rsidRPr="000B39F3">
        <w:t xml:space="preserve"> </w:t>
      </w:r>
      <w:r w:rsidR="007C27B1" w:rsidRPr="000B39F3">
        <w:t>(</w:t>
      </w:r>
      <w:proofErr w:type="spellStart"/>
      <w:r w:rsidR="007C27B1" w:rsidRPr="000B39F3">
        <w:t>i</w:t>
      </w:r>
      <w:proofErr w:type="spellEnd"/>
      <w:r w:rsidR="007C27B1" w:rsidRPr="000B39F3">
        <w:t xml:space="preserve">) </w:t>
      </w:r>
      <w:r w:rsidR="004751EA" w:rsidRPr="000B39F3">
        <w:t xml:space="preserve">rephrasing the referred questions, </w:t>
      </w:r>
      <w:r w:rsidR="007C27B1" w:rsidRPr="000B39F3">
        <w:t xml:space="preserve">(ii) </w:t>
      </w:r>
      <w:r w:rsidR="004751EA" w:rsidRPr="000B39F3">
        <w:t xml:space="preserve">assuming the principle of autonomous interpretation as a default (forcing uniform EU-wide meaning where it was not intended), and </w:t>
      </w:r>
      <w:r w:rsidR="007C27B1" w:rsidRPr="000B39F3">
        <w:t xml:space="preserve">(iii) </w:t>
      </w:r>
      <w:r w:rsidR="004751EA" w:rsidRPr="000B39F3">
        <w:t>con</w:t>
      </w:r>
      <w:r w:rsidR="00975314" w:rsidRPr="000B39F3">
        <w:t>structing harmoniz</w:t>
      </w:r>
      <w:r w:rsidR="004751EA" w:rsidRPr="000B39F3">
        <w:t>ed criteria from international sources.</w:t>
      </w:r>
      <w:r w:rsidR="004751EA" w:rsidRPr="000B39F3">
        <w:rPr>
          <w:rStyle w:val="FootnoteReference"/>
        </w:rPr>
        <w:footnoteReference w:id="7"/>
      </w:r>
      <w:r w:rsidR="003838AA" w:rsidRPr="000B39F3">
        <w:t xml:space="preserve"> </w:t>
      </w:r>
      <w:r w:rsidR="007C27B1" w:rsidRPr="000B39F3">
        <w:t>In summary, the literature</w:t>
      </w:r>
      <w:r w:rsidR="0066160E" w:rsidRPr="000B39F3">
        <w:t xml:space="preserve"> appears to suggest </w:t>
      </w:r>
      <w:r w:rsidR="00D531EC" w:rsidRPr="000B39F3">
        <w:t>that the Court has failed to develop a coherent copyright jurisprudence</w:t>
      </w:r>
      <w:r w:rsidR="004751EA" w:rsidRPr="000B39F3">
        <w:t>; and</w:t>
      </w:r>
      <w:r w:rsidR="00D531EC" w:rsidRPr="000B39F3">
        <w:t xml:space="preserve"> that the Court </w:t>
      </w:r>
      <w:r w:rsidR="004751EA" w:rsidRPr="000B39F3">
        <w:t>is pursuing</w:t>
      </w:r>
      <w:r w:rsidR="00D531EC" w:rsidRPr="000B39F3">
        <w:t xml:space="preserve"> an activist, harmonising agenda.</w:t>
      </w:r>
    </w:p>
    <w:p w14:paraId="088693B9" w14:textId="41121221" w:rsidR="004751EA" w:rsidRPr="000B39F3" w:rsidRDefault="003C293F" w:rsidP="001E1BFF">
      <w:pPr>
        <w:jc w:val="both"/>
        <w:outlineLvl w:val="0"/>
      </w:pPr>
      <w:r w:rsidRPr="000B39F3">
        <w:t>This study takes the</w:t>
      </w:r>
      <w:r w:rsidR="00D531EC" w:rsidRPr="000B39F3">
        <w:t xml:space="preserve"> novel appro</w:t>
      </w:r>
      <w:r w:rsidRPr="000B39F3">
        <w:t>ach that</w:t>
      </w:r>
      <w:r w:rsidR="00D531EC" w:rsidRPr="000B39F3">
        <w:t xml:space="preserve"> such doctrinal claims about the </w:t>
      </w:r>
      <w:r w:rsidRPr="000B39F3">
        <w:t xml:space="preserve">development of jurisprudence </w:t>
      </w:r>
      <w:r w:rsidR="00D531EC" w:rsidRPr="000B39F3">
        <w:t>are in principle open to empirical investigation. A cursory</w:t>
      </w:r>
      <w:r w:rsidRPr="000B39F3">
        <w:t xml:space="preserve"> review </w:t>
      </w:r>
      <w:r w:rsidR="00D531EC" w:rsidRPr="000B39F3">
        <w:t>of the</w:t>
      </w:r>
      <w:r w:rsidRPr="000B39F3">
        <w:t xml:space="preserve"> </w:t>
      </w:r>
      <w:r w:rsidR="00EF4A18" w:rsidRPr="000B39F3">
        <w:t>judgment</w:t>
      </w:r>
      <w:r w:rsidRPr="000B39F3">
        <w:t>s of the</w:t>
      </w:r>
      <w:r w:rsidR="00D531EC" w:rsidRPr="000B39F3">
        <w:t xml:space="preserve"> Court immediately reveals </w:t>
      </w:r>
      <w:proofErr w:type="gramStart"/>
      <w:r w:rsidR="00D531EC" w:rsidRPr="000B39F3">
        <w:t xml:space="preserve">that copyright decisions were mostly drafted by reporting judges </w:t>
      </w:r>
      <w:proofErr w:type="spellStart"/>
      <w:r w:rsidR="00D531EC" w:rsidRPr="000B39F3">
        <w:t>Puissochet</w:t>
      </w:r>
      <w:proofErr w:type="spellEnd"/>
      <w:r w:rsidR="00D531EC" w:rsidRPr="000B39F3">
        <w:t xml:space="preserve"> (until 2003) and then </w:t>
      </w:r>
      <w:proofErr w:type="spellStart"/>
      <w:r w:rsidR="00D531EC" w:rsidRPr="000B39F3">
        <w:t>Malenovský</w:t>
      </w:r>
      <w:proofErr w:type="spellEnd"/>
      <w:proofErr w:type="gramEnd"/>
      <w:r w:rsidR="00D531EC" w:rsidRPr="000B39F3">
        <w:t xml:space="preserve"> (from 2004</w:t>
      </w:r>
      <w:r w:rsidR="007C57A3" w:rsidRPr="000B39F3">
        <w:t>, ofte</w:t>
      </w:r>
      <w:r w:rsidR="00504701" w:rsidRPr="000B39F3">
        <w:t>n twinned with AGs</w:t>
      </w:r>
      <w:r w:rsidR="00997856" w:rsidRPr="000B39F3">
        <w:t xml:space="preserve"> </w:t>
      </w:r>
      <w:proofErr w:type="spellStart"/>
      <w:r w:rsidR="007C57A3" w:rsidRPr="000B39F3">
        <w:t>Sharpston</w:t>
      </w:r>
      <w:proofErr w:type="spellEnd"/>
      <w:r w:rsidR="007C57A3" w:rsidRPr="000B39F3">
        <w:t xml:space="preserve"> and </w:t>
      </w:r>
      <w:proofErr w:type="spellStart"/>
      <w:r w:rsidR="007C57A3" w:rsidRPr="000B39F3">
        <w:t>Trstenjak</w:t>
      </w:r>
      <w:proofErr w:type="spellEnd"/>
      <w:r w:rsidR="007C57A3" w:rsidRPr="000B39F3">
        <w:t>). A</w:t>
      </w:r>
      <w:r w:rsidR="00D531EC" w:rsidRPr="000B39F3">
        <w:t xml:space="preserve">ll software copyright cases </w:t>
      </w:r>
      <w:r w:rsidR="007C57A3" w:rsidRPr="000B39F3">
        <w:t xml:space="preserve">were </w:t>
      </w:r>
      <w:r w:rsidR="00D531EC" w:rsidRPr="000B39F3">
        <w:t>pro</w:t>
      </w:r>
      <w:r w:rsidR="007C57A3" w:rsidRPr="000B39F3">
        <w:t>mpte</w:t>
      </w:r>
      <w:r w:rsidR="006F15D9" w:rsidRPr="000B39F3">
        <w:t>d by opinions from AG Bot, and J</w:t>
      </w:r>
      <w:r w:rsidR="007C57A3" w:rsidRPr="000B39F3">
        <w:t xml:space="preserve">udge </w:t>
      </w:r>
      <w:proofErr w:type="spellStart"/>
      <w:r w:rsidR="007C57A3" w:rsidRPr="000B39F3">
        <w:t>Lenaerts</w:t>
      </w:r>
      <w:proofErr w:type="spellEnd"/>
      <w:r w:rsidR="007C57A3" w:rsidRPr="000B39F3">
        <w:t xml:space="preserve"> sat on </w:t>
      </w:r>
      <w:r w:rsidR="00F46737" w:rsidRPr="000B39F3">
        <w:t>all database right cases (</w:t>
      </w:r>
      <w:r w:rsidR="00997856" w:rsidRPr="000B39F3">
        <w:t>s</w:t>
      </w:r>
      <w:r w:rsidR="000807B4" w:rsidRPr="000B39F3">
        <w:t xml:space="preserve">ee Appendix I for </w:t>
      </w:r>
      <w:r w:rsidR="00F46737" w:rsidRPr="000B39F3">
        <w:t>full sample of cases).</w:t>
      </w:r>
      <w:r w:rsidR="00997856" w:rsidRPr="000B39F3">
        <w:t xml:space="preserve"> </w:t>
      </w:r>
      <w:r w:rsidRPr="000B39F3">
        <w:t>So an empirical approach to analysing the development of the jurisprudence of the Court might start</w:t>
      </w:r>
      <w:r w:rsidR="00997856" w:rsidRPr="000B39F3">
        <w:t xml:space="preserve"> </w:t>
      </w:r>
      <w:r w:rsidR="003B563B" w:rsidRPr="000B39F3">
        <w:t xml:space="preserve">with tracing </w:t>
      </w:r>
      <w:r w:rsidR="00D531EC" w:rsidRPr="000B39F3">
        <w:t>the background of the judges and advo</w:t>
      </w:r>
      <w:r w:rsidRPr="000B39F3">
        <w:t>cate</w:t>
      </w:r>
      <w:r w:rsidR="00AF2A13" w:rsidRPr="000B39F3">
        <w:t>s general</w:t>
      </w:r>
      <w:r w:rsidR="00D531EC" w:rsidRPr="000B39F3">
        <w:t xml:space="preserve">, in order to understand whether they have specific competences to address copyright </w:t>
      </w:r>
      <w:r w:rsidR="003B563B" w:rsidRPr="000B39F3">
        <w:t>issues. In addition, the Court</w:t>
      </w:r>
      <w:r w:rsidR="00336396" w:rsidRPr="000B39F3">
        <w:t>’</w:t>
      </w:r>
      <w:r w:rsidR="003B563B" w:rsidRPr="000B39F3">
        <w:t>s processes, for example for allocating cases to</w:t>
      </w:r>
      <w:r w:rsidR="00136AB4" w:rsidRPr="000B39F3">
        <w:t xml:space="preserve"> chambers, might also offer an empirical window.</w:t>
      </w:r>
    </w:p>
    <w:p w14:paraId="2DDDCED0" w14:textId="21C54CF1" w:rsidR="00B065F3" w:rsidRPr="000B39F3" w:rsidRDefault="00136AB4" w:rsidP="001E1BFF">
      <w:pPr>
        <w:jc w:val="both"/>
        <w:outlineLvl w:val="0"/>
      </w:pPr>
      <w:r w:rsidRPr="000B39F3">
        <w:lastRenderedPageBreak/>
        <w:t xml:space="preserve">Our second empirical strategy draws on </w:t>
      </w:r>
      <w:r w:rsidR="0045435F" w:rsidRPr="000B39F3">
        <w:t xml:space="preserve">recent </w:t>
      </w:r>
      <w:r w:rsidRPr="000B39F3">
        <w:t xml:space="preserve">work in </w:t>
      </w:r>
      <w:r w:rsidR="003D50B8" w:rsidRPr="000B39F3">
        <w:t>the U</w:t>
      </w:r>
      <w:r w:rsidR="0045435F" w:rsidRPr="000B39F3">
        <w:t xml:space="preserve">nited </w:t>
      </w:r>
      <w:r w:rsidR="003D50B8" w:rsidRPr="000B39F3">
        <w:t>S</w:t>
      </w:r>
      <w:r w:rsidR="0045435F" w:rsidRPr="000B39F3">
        <w:t>tates</w:t>
      </w:r>
      <w:r w:rsidR="00997856" w:rsidRPr="000B39F3">
        <w:t xml:space="preserve"> </w:t>
      </w:r>
      <w:r w:rsidR="0045435F" w:rsidRPr="000B39F3">
        <w:t xml:space="preserve">that </w:t>
      </w:r>
      <w:r w:rsidR="008B522F" w:rsidRPr="000B39F3">
        <w:t>attempts to quantify</w:t>
      </w:r>
      <w:r w:rsidR="00997856" w:rsidRPr="000B39F3">
        <w:t xml:space="preserve"> </w:t>
      </w:r>
      <w:r w:rsidR="0045435F" w:rsidRPr="000B39F3">
        <w:t xml:space="preserve">the application of legal factors in judicial opinions </w:t>
      </w:r>
      <w:r w:rsidR="00D531EC" w:rsidRPr="000B39F3">
        <w:t>through quantitative content analysis.</w:t>
      </w:r>
      <w:r w:rsidR="0045435F" w:rsidRPr="000B39F3">
        <w:rPr>
          <w:rStyle w:val="FootnoteReference"/>
        </w:rPr>
        <w:footnoteReference w:id="8"/>
      </w:r>
      <w:r w:rsidR="00997856" w:rsidRPr="000B39F3">
        <w:t xml:space="preserve"> </w:t>
      </w:r>
      <w:r w:rsidR="0045435F" w:rsidRPr="000B39F3">
        <w:t xml:space="preserve">In the context of the European Court of Justice, </w:t>
      </w:r>
      <w:r w:rsidR="000E1E6E" w:rsidRPr="000B39F3">
        <w:t>this meth</w:t>
      </w:r>
      <w:r w:rsidR="000E7CB5" w:rsidRPr="000B39F3">
        <w:t xml:space="preserve">od should allow both the identification of </w:t>
      </w:r>
      <w:r w:rsidR="000E1E6E" w:rsidRPr="000B39F3">
        <w:t>a harmonising agenda (if</w:t>
      </w:r>
      <w:r w:rsidR="005053B3" w:rsidRPr="000B39F3">
        <w:t>, for example,</w:t>
      </w:r>
      <w:r w:rsidR="000E1E6E" w:rsidRPr="000B39F3">
        <w:t xml:space="preserve"> teleological </w:t>
      </w:r>
      <w:r w:rsidR="00BE4338" w:rsidRPr="000B39F3">
        <w:rPr>
          <w:i/>
        </w:rPr>
        <w:t>topoi</w:t>
      </w:r>
      <w:r w:rsidR="000E1E6E" w:rsidRPr="000B39F3">
        <w:t xml:space="preserve"> of reasoning dominate</w:t>
      </w:r>
      <w:r w:rsidR="005053B3" w:rsidRPr="000B39F3">
        <w:t xml:space="preserve"> over less discretionary</w:t>
      </w:r>
      <w:r w:rsidR="000E7CB5" w:rsidRPr="000B39F3">
        <w:t xml:space="preserve"> semantic and systematic approaches</w:t>
      </w:r>
      <w:r w:rsidR="000E1E6E" w:rsidRPr="000B39F3">
        <w:t xml:space="preserve">), and </w:t>
      </w:r>
      <w:r w:rsidR="005053B3" w:rsidRPr="000B39F3">
        <w:t>may</w:t>
      </w:r>
      <w:r w:rsidR="000E1E6E" w:rsidRPr="000B39F3">
        <w:t xml:space="preserve"> predict outcomes (if</w:t>
      </w:r>
      <w:r w:rsidR="00AA372B" w:rsidRPr="000B39F3">
        <w:t xml:space="preserve"> more specific</w:t>
      </w:r>
      <w:r w:rsidR="00BE4338" w:rsidRPr="000B39F3">
        <w:t xml:space="preserve"> patterns </w:t>
      </w:r>
      <w:r w:rsidR="000E1E6E" w:rsidRPr="000B39F3">
        <w:t xml:space="preserve">that occur in the opinions and decisions can be </w:t>
      </w:r>
      <w:r w:rsidR="00D531EC" w:rsidRPr="000B39F3">
        <w:t>link</w:t>
      </w:r>
      <w:r w:rsidR="000E1E6E" w:rsidRPr="000B39F3">
        <w:t>ed</w:t>
      </w:r>
      <w:r w:rsidR="00D531EC" w:rsidRPr="000B39F3">
        <w:t xml:space="preserve"> to the outcome of each case</w:t>
      </w:r>
      <w:r w:rsidR="000E1E6E" w:rsidRPr="000B39F3">
        <w:t>, for example widening or narrowing the scope of protection)</w:t>
      </w:r>
      <w:r w:rsidR="00D531EC" w:rsidRPr="000B39F3">
        <w:t xml:space="preserve">. </w:t>
      </w:r>
    </w:p>
    <w:p w14:paraId="3153DAA7" w14:textId="50F41534" w:rsidR="00D531EC" w:rsidRPr="000B39F3" w:rsidRDefault="003D50B8" w:rsidP="00B065F3">
      <w:pPr>
        <w:jc w:val="both"/>
        <w:outlineLvl w:val="0"/>
      </w:pPr>
      <w:r w:rsidRPr="000B39F3">
        <w:t>From a wider perspective, this</w:t>
      </w:r>
      <w:r w:rsidR="00D531EC" w:rsidRPr="000B39F3">
        <w:t xml:space="preserve"> study is one of the first empi</w:t>
      </w:r>
      <w:r w:rsidR="00504701" w:rsidRPr="000B39F3">
        <w:t>rical attempts to investigate for</w:t>
      </w:r>
      <w:r w:rsidR="00D531EC" w:rsidRPr="000B39F3">
        <w:t xml:space="preserve"> a specific subject domain (copyright and related rights) how a court develops jurisprudence from an indeterminate and fragmentary starting point (as European Law has been characterised, for example by Beck and </w:t>
      </w:r>
      <w:proofErr w:type="spellStart"/>
      <w:r w:rsidR="00D531EC" w:rsidRPr="000B39F3">
        <w:t>Bengoetxea</w:t>
      </w:r>
      <w:bookmarkStart w:id="1" w:name="_Ref413418321"/>
      <w:proofErr w:type="spellEnd"/>
      <w:r w:rsidR="00D531EC" w:rsidRPr="000B39F3">
        <w:rPr>
          <w:rStyle w:val="FootnoteReference"/>
        </w:rPr>
        <w:footnoteReference w:id="9"/>
      </w:r>
      <w:bookmarkEnd w:id="1"/>
      <w:r w:rsidR="00D531EC" w:rsidRPr="000B39F3">
        <w:t xml:space="preserve">). The findings therefore </w:t>
      </w:r>
      <w:r w:rsidRPr="000B39F3">
        <w:t>may</w:t>
      </w:r>
      <w:r w:rsidR="00D531EC" w:rsidRPr="000B39F3">
        <w:t xml:space="preserve"> be of wider theoretical interest </w:t>
      </w:r>
      <w:r w:rsidR="00136AB4" w:rsidRPr="000B39F3">
        <w:t>for</w:t>
      </w:r>
      <w:r w:rsidR="00EF4A18" w:rsidRPr="000B39F3">
        <w:t xml:space="preserve"> </w:t>
      </w:r>
      <w:r w:rsidR="00136AB4" w:rsidRPr="000B39F3">
        <w:t xml:space="preserve">explaining </w:t>
      </w:r>
      <w:r w:rsidR="00D531EC" w:rsidRPr="000B39F3">
        <w:t>the nature of transnational jurisprudence.</w:t>
      </w:r>
    </w:p>
    <w:p w14:paraId="78F81161" w14:textId="7009112F" w:rsidR="00F95CC2" w:rsidRPr="000B39F3" w:rsidRDefault="00062829" w:rsidP="001E1BFF">
      <w:pPr>
        <w:jc w:val="both"/>
        <w:outlineLvl w:val="0"/>
      </w:pPr>
      <w:r w:rsidRPr="000B39F3">
        <w:t xml:space="preserve">The article is structured as follows. </w:t>
      </w:r>
      <w:r w:rsidR="00C140D8" w:rsidRPr="000B39F3">
        <w:t>We begin by s</w:t>
      </w:r>
      <w:r w:rsidR="00D531EC" w:rsidRPr="000B39F3">
        <w:t xml:space="preserve">ituating our investigation in the intergovernmental and neo-functionalist integration theories of </w:t>
      </w:r>
      <w:r w:rsidR="00C140D8" w:rsidRPr="000B39F3">
        <w:t>political science.</w:t>
      </w:r>
      <w:r w:rsidR="002F36B7" w:rsidRPr="000B39F3">
        <w:t xml:space="preserve"> </w:t>
      </w:r>
      <w:r w:rsidR="00C140D8" w:rsidRPr="000B39F3">
        <w:t>We then create a s</w:t>
      </w:r>
      <w:r w:rsidR="00A30AB9" w:rsidRPr="000B39F3">
        <w:t xml:space="preserve">ample of all </w:t>
      </w:r>
      <w:r w:rsidR="00A61359" w:rsidRPr="000B39F3">
        <w:t xml:space="preserve">copyright </w:t>
      </w:r>
      <w:r w:rsidR="003C293F" w:rsidRPr="000B39F3">
        <w:t>decision</w:t>
      </w:r>
      <w:r w:rsidR="00116734" w:rsidRPr="000B39F3">
        <w:t>s</w:t>
      </w:r>
      <w:r w:rsidR="002F36B7" w:rsidRPr="000B39F3">
        <w:t xml:space="preserve"> </w:t>
      </w:r>
      <w:r w:rsidR="00C140D8" w:rsidRPr="000B39F3">
        <w:t>from</w:t>
      </w:r>
      <w:r w:rsidR="003C293F" w:rsidRPr="000B39F3">
        <w:t xml:space="preserve"> the first</w:t>
      </w:r>
      <w:r w:rsidR="002F36B7" w:rsidRPr="000B39F3">
        <w:t xml:space="preserve"> </w:t>
      </w:r>
      <w:r w:rsidR="00A61359" w:rsidRPr="000B39F3">
        <w:t xml:space="preserve">explicit copyright </w:t>
      </w:r>
      <w:r w:rsidR="000E6439" w:rsidRPr="000B39F3">
        <w:t>reference</w:t>
      </w:r>
      <w:r w:rsidR="003C293F" w:rsidRPr="000B39F3">
        <w:t xml:space="preserve"> in 1992</w:t>
      </w:r>
      <w:r w:rsidR="000E6439" w:rsidRPr="000B39F3">
        <w:t xml:space="preserve"> (</w:t>
      </w:r>
      <w:r w:rsidR="000E6439" w:rsidRPr="000B39F3">
        <w:rPr>
          <w:i/>
        </w:rPr>
        <w:t>Phil Collins</w:t>
      </w:r>
      <w:r w:rsidR="002F36B7" w:rsidRPr="000B39F3">
        <w:t>)</w:t>
      </w:r>
      <w:r w:rsidR="00A30AB9" w:rsidRPr="000B39F3">
        <w:rPr>
          <w:rStyle w:val="FootnoteReference"/>
        </w:rPr>
        <w:footnoteReference w:id="10"/>
      </w:r>
      <w:r w:rsidR="00116734" w:rsidRPr="000B39F3">
        <w:t xml:space="preserve"> to th</w:t>
      </w:r>
      <w:r w:rsidR="002F36B7" w:rsidRPr="000B39F3">
        <w:t>e judg</w:t>
      </w:r>
      <w:r w:rsidR="00C140D8" w:rsidRPr="000B39F3">
        <w:t>ment</w:t>
      </w:r>
      <w:r w:rsidR="00116734" w:rsidRPr="000B39F3">
        <w:t xml:space="preserve"> in </w:t>
      </w:r>
      <w:proofErr w:type="spellStart"/>
      <w:r w:rsidR="00116734" w:rsidRPr="000B39F3">
        <w:rPr>
          <w:i/>
        </w:rPr>
        <w:t>Svensson</w:t>
      </w:r>
      <w:proofErr w:type="spellEnd"/>
      <w:r w:rsidR="000E6439" w:rsidRPr="000B39F3">
        <w:rPr>
          <w:rStyle w:val="FootnoteReference"/>
        </w:rPr>
        <w:footnoteReference w:id="11"/>
      </w:r>
      <w:r w:rsidR="002F36B7" w:rsidRPr="000B39F3">
        <w:rPr>
          <w:i/>
        </w:rPr>
        <w:t xml:space="preserve"> </w:t>
      </w:r>
      <w:r w:rsidR="00BE4338" w:rsidRPr="000B39F3">
        <w:t xml:space="preserve">a case </w:t>
      </w:r>
      <w:r w:rsidR="00C57F6A" w:rsidRPr="000B39F3">
        <w:t>registered</w:t>
      </w:r>
      <w:r w:rsidR="002F36B7" w:rsidRPr="000B39F3">
        <w:t xml:space="preserve"> </w:t>
      </w:r>
      <w:r w:rsidR="00A61359" w:rsidRPr="000B39F3">
        <w:t xml:space="preserve">in 2012, and </w:t>
      </w:r>
      <w:r w:rsidR="002F36B7" w:rsidRPr="000B39F3">
        <w:t>delivered</w:t>
      </w:r>
      <w:r w:rsidR="00116734" w:rsidRPr="000B39F3">
        <w:t xml:space="preserve"> on</w:t>
      </w:r>
      <w:r w:rsidR="00A30AB9" w:rsidRPr="000B39F3">
        <w:t xml:space="preserve"> 13 February 2014</w:t>
      </w:r>
      <w:r w:rsidR="00C140D8" w:rsidRPr="000B39F3">
        <w:t xml:space="preserve">. This rendered a total of </w:t>
      </w:r>
      <w:r w:rsidR="002F36B7" w:rsidRPr="000B39F3">
        <w:t xml:space="preserve">40 </w:t>
      </w:r>
      <w:r w:rsidR="00116734" w:rsidRPr="000B39F3">
        <w:t xml:space="preserve">cases </w:t>
      </w:r>
      <w:r w:rsidR="00F95CC2" w:rsidRPr="000B39F3">
        <w:t xml:space="preserve">filed </w:t>
      </w:r>
      <w:r w:rsidR="00E2562A" w:rsidRPr="000B39F3">
        <w:t xml:space="preserve">over a period of </w:t>
      </w:r>
      <w:r w:rsidR="002F36B7" w:rsidRPr="000B39F3">
        <w:t>20</w:t>
      </w:r>
      <w:r w:rsidR="00E2562A" w:rsidRPr="000B39F3">
        <w:t xml:space="preserve"> years </w:t>
      </w:r>
      <w:r w:rsidR="00116734" w:rsidRPr="000B39F3">
        <w:t>that refer t</w:t>
      </w:r>
      <w:r w:rsidR="001D611E" w:rsidRPr="000B39F3">
        <w:t xml:space="preserve">o copyright and related rights (including </w:t>
      </w:r>
      <w:r w:rsidR="00116734" w:rsidRPr="000B39F3">
        <w:t>software protection</w:t>
      </w:r>
      <w:r w:rsidR="001D611E" w:rsidRPr="000B39F3">
        <w:t>)</w:t>
      </w:r>
      <w:r w:rsidR="00E2562A" w:rsidRPr="000B39F3">
        <w:t xml:space="preserve">, and </w:t>
      </w:r>
      <w:r w:rsidR="002F36B7" w:rsidRPr="000B39F3">
        <w:t>9</w:t>
      </w:r>
      <w:r w:rsidR="00116734" w:rsidRPr="000B39F3">
        <w:t xml:space="preserve"> database</w:t>
      </w:r>
      <w:r w:rsidR="00E2562A" w:rsidRPr="000B39F3">
        <w:t xml:space="preserve"> right</w:t>
      </w:r>
      <w:r w:rsidR="00116734" w:rsidRPr="000B39F3">
        <w:t xml:space="preserve"> cases.</w:t>
      </w:r>
    </w:p>
    <w:p w14:paraId="5FBFB8D6" w14:textId="45CCD107" w:rsidR="0025599A" w:rsidRPr="000B39F3" w:rsidRDefault="00F95CC2" w:rsidP="001E1BFF">
      <w:pPr>
        <w:jc w:val="both"/>
        <w:outlineLvl w:val="0"/>
      </w:pPr>
      <w:r w:rsidRPr="000B39F3">
        <w:t xml:space="preserve">The next sections investigate the operations of the Court of Justice, </w:t>
      </w:r>
      <w:r w:rsidR="003C293F" w:rsidRPr="000B39F3">
        <w:t>start</w:t>
      </w:r>
      <w:r w:rsidRPr="000B39F3">
        <w:t>ing</w:t>
      </w:r>
      <w:r w:rsidR="003C293F" w:rsidRPr="000B39F3">
        <w:t xml:space="preserve"> with the identification of the chambers and of the court members that examine copyright cases. Then, we investigate the </w:t>
      </w:r>
      <w:r w:rsidR="00BE4338" w:rsidRPr="000B39F3">
        <w:t xml:space="preserve">biographical background of </w:t>
      </w:r>
      <w:r w:rsidR="003C293F" w:rsidRPr="000B39F3">
        <w:t>judges and advocate</w:t>
      </w:r>
      <w:r w:rsidR="00AF2A13" w:rsidRPr="000B39F3">
        <w:t>s general</w:t>
      </w:r>
      <w:r w:rsidR="00365A3A" w:rsidRPr="000B39F3">
        <w:t>, and attempt to establish if</w:t>
      </w:r>
      <w:r w:rsidR="003C293F" w:rsidRPr="000B39F3">
        <w:t xml:space="preserve"> assignment to copyright cases may be linked </w:t>
      </w:r>
      <w:r w:rsidR="00365A3A" w:rsidRPr="000B39F3">
        <w:t xml:space="preserve">to </w:t>
      </w:r>
      <w:r w:rsidR="003C293F" w:rsidRPr="000B39F3">
        <w:t>expertise.</w:t>
      </w:r>
      <w:r w:rsidR="00DB7A81" w:rsidRPr="000B39F3">
        <w:t xml:space="preserve"> </w:t>
      </w:r>
      <w:r w:rsidRPr="000B39F3">
        <w:t xml:space="preserve">The </w:t>
      </w:r>
      <w:r w:rsidR="00FB018D" w:rsidRPr="000B39F3">
        <w:t xml:space="preserve">pattern in the </w:t>
      </w:r>
      <w:r w:rsidRPr="000B39F3">
        <w:t>assignment of cases is tested for statistical significance (chi-square test).</w:t>
      </w:r>
    </w:p>
    <w:p w14:paraId="5922DAA8" w14:textId="5677549B" w:rsidR="00CC3635" w:rsidRPr="000B39F3" w:rsidRDefault="00FB018D" w:rsidP="00CC3635">
      <w:pPr>
        <w:jc w:val="both"/>
        <w:outlineLvl w:val="0"/>
      </w:pPr>
      <w:r w:rsidRPr="000B39F3">
        <w:t>The second half of the article reports the results of a quantitative conte</w:t>
      </w:r>
      <w:r w:rsidR="00FC2130" w:rsidRPr="000B39F3">
        <w:t>nt analysis, analysing</w:t>
      </w:r>
      <w:r w:rsidRPr="000B39F3">
        <w:t xml:space="preserve"> the reasoning of the Court of Justice for the use of </w:t>
      </w:r>
      <w:r w:rsidR="00365A3A" w:rsidRPr="000B39F3">
        <w:t>semantic, systematic, teleological</w:t>
      </w:r>
      <w:r w:rsidRPr="000B39F3">
        <w:t xml:space="preserve"> approaches, </w:t>
      </w:r>
      <w:r w:rsidR="00E90FAB" w:rsidRPr="000B39F3">
        <w:t xml:space="preserve">and </w:t>
      </w:r>
      <w:r w:rsidRPr="000B39F3">
        <w:t>for broad and narrow interpretation of concepts</w:t>
      </w:r>
      <w:r w:rsidR="00E90FAB" w:rsidRPr="000B39F3">
        <w:t>.</w:t>
      </w:r>
      <w:r w:rsidRPr="000B39F3">
        <w:t xml:space="preserve"> </w:t>
      </w:r>
      <w:r w:rsidR="00E90FAB" w:rsidRPr="000B39F3">
        <w:t>Within</w:t>
      </w:r>
      <w:r w:rsidR="003D7AC6" w:rsidRPr="000B39F3">
        <w:t xml:space="preserve"> the Court</w:t>
      </w:r>
      <w:r w:rsidR="00336396" w:rsidRPr="000B39F3">
        <w:t>’</w:t>
      </w:r>
      <w:r w:rsidR="003D7AC6" w:rsidRPr="000B39F3">
        <w:t>s teleological reasoning</w:t>
      </w:r>
      <w:r w:rsidR="00E90FAB" w:rsidRPr="000B39F3">
        <w:t xml:space="preserve"> we also identif</w:t>
      </w:r>
      <w:r w:rsidR="007819F4" w:rsidRPr="000B39F3">
        <w:t>y</w:t>
      </w:r>
      <w:r w:rsidR="00E90FAB" w:rsidRPr="000B39F3">
        <w:t xml:space="preserve"> a range of arguments</w:t>
      </w:r>
      <w:r w:rsidR="003D7AC6" w:rsidRPr="000B39F3">
        <w:t>: (</w:t>
      </w:r>
      <w:proofErr w:type="spellStart"/>
      <w:r w:rsidR="003D7AC6" w:rsidRPr="000B39F3">
        <w:t>i</w:t>
      </w:r>
      <w:proofErr w:type="spellEnd"/>
      <w:r w:rsidR="003D7AC6" w:rsidRPr="000B39F3">
        <w:t xml:space="preserve">) </w:t>
      </w:r>
      <w:r w:rsidR="003D4B0D" w:rsidRPr="000B39F3">
        <w:t>high level of protection for copyright holders</w:t>
      </w:r>
      <w:r w:rsidR="003D7AC6" w:rsidRPr="000B39F3">
        <w:t>, (ii) fair competitio</w:t>
      </w:r>
      <w:r w:rsidR="00F93FB2" w:rsidRPr="000B39F3">
        <w:t>n, (iii) circulation of culture</w:t>
      </w:r>
      <w:r w:rsidR="003D4B0D" w:rsidRPr="000B39F3">
        <w:t>, (iv) fair balance between</w:t>
      </w:r>
      <w:r w:rsidR="003D4B0D" w:rsidRPr="000B39F3">
        <w:rPr>
          <w:rFonts w:ascii="Calibri" w:hAnsi="Calibri" w:cs="Calibri"/>
          <w:lang w:val="en-US"/>
        </w:rPr>
        <w:t xml:space="preserve"> the rights and interests of authors and the rights of users</w:t>
      </w:r>
      <w:r w:rsidR="00F93FB2" w:rsidRPr="000B39F3">
        <w:t xml:space="preserve">, (v) harmonization, (vi) adequate compensation, (vii) resolving legal uncertainty, (viii) technological development. The use of these </w:t>
      </w:r>
      <w:r w:rsidR="00E90FAB" w:rsidRPr="000B39F3">
        <w:t>r</w:t>
      </w:r>
      <w:r w:rsidR="00CA09A6" w:rsidRPr="000B39F3">
        <w:t>h</w:t>
      </w:r>
      <w:r w:rsidR="00E90FAB" w:rsidRPr="000B39F3">
        <w:t>etorical arguments</w:t>
      </w:r>
      <w:r w:rsidR="00CA09A6" w:rsidRPr="000B39F3">
        <w:t xml:space="preserve"> </w:t>
      </w:r>
      <w:r w:rsidR="00F93FB2" w:rsidRPr="000B39F3">
        <w:t>is captured by reporting judge, and linked to the outcome of each case, using descriptive statistics (the sample of cases is too small to test for statistical significance).</w:t>
      </w:r>
      <w:r w:rsidR="00E76179" w:rsidRPr="000B39F3">
        <w:t xml:space="preserve"> </w:t>
      </w:r>
      <w:r w:rsidR="00A21EB8" w:rsidRPr="000B39F3">
        <w:t>We then evaluate if the</w:t>
      </w:r>
      <w:r w:rsidR="00E76179" w:rsidRPr="000B39F3">
        <w:t xml:space="preserve"> appearance of certain</w:t>
      </w:r>
      <w:r w:rsidR="00BE4338" w:rsidRPr="000B39F3">
        <w:t xml:space="preserve"> arguments </w:t>
      </w:r>
      <w:r w:rsidR="00D41B74" w:rsidRPr="000B39F3">
        <w:t>explain</w:t>
      </w:r>
      <w:r w:rsidR="00A21EB8" w:rsidRPr="000B39F3">
        <w:t>s</w:t>
      </w:r>
      <w:r w:rsidR="00E76179" w:rsidRPr="000B39F3">
        <w:t xml:space="preserve"> if a </w:t>
      </w:r>
      <w:r w:rsidR="00EF4A18" w:rsidRPr="000B39F3">
        <w:t>judgment</w:t>
      </w:r>
      <w:r w:rsidR="00E76179" w:rsidRPr="000B39F3">
        <w:t xml:space="preserve"> results in an outcome </w:t>
      </w:r>
      <w:r w:rsidR="00336396" w:rsidRPr="000B39F3">
        <w:t>‘</w:t>
      </w:r>
      <w:r w:rsidR="00E76179" w:rsidRPr="000B39F3">
        <w:t xml:space="preserve">pro </w:t>
      </w:r>
      <w:proofErr w:type="spellStart"/>
      <w:r w:rsidR="00E76179" w:rsidRPr="000B39F3">
        <w:t>rightholder</w:t>
      </w:r>
      <w:proofErr w:type="spellEnd"/>
      <w:r w:rsidR="00336396" w:rsidRPr="000B39F3">
        <w:t>’</w:t>
      </w:r>
      <w:r w:rsidR="00E76179" w:rsidRPr="000B39F3">
        <w:t xml:space="preserve"> or </w:t>
      </w:r>
      <w:r w:rsidR="00E90FAB" w:rsidRPr="000B39F3">
        <w:t>not</w:t>
      </w:r>
      <w:r w:rsidR="00E76179" w:rsidRPr="000B39F3">
        <w:t>.</w:t>
      </w:r>
      <w:r w:rsidR="00A7027B" w:rsidRPr="000B39F3">
        <w:rPr>
          <w:rStyle w:val="FootnoteReference"/>
        </w:rPr>
        <w:footnoteReference w:id="12"/>
      </w:r>
    </w:p>
    <w:p w14:paraId="292B54F8" w14:textId="1F1FF3E3" w:rsidR="001A2558" w:rsidRPr="000B39F3" w:rsidRDefault="00155787" w:rsidP="00F46737">
      <w:pPr>
        <w:jc w:val="both"/>
      </w:pPr>
      <w:r w:rsidRPr="000B39F3">
        <w:t>The final section</w:t>
      </w:r>
      <w:r w:rsidR="00091F84" w:rsidRPr="000B39F3">
        <w:t xml:space="preserve"> discusses the implications of </w:t>
      </w:r>
      <w:r w:rsidR="00CC3635" w:rsidRPr="000B39F3">
        <w:t>our</w:t>
      </w:r>
      <w:r w:rsidR="00091F84" w:rsidRPr="000B39F3">
        <w:t xml:space="preserve"> empirical findings for generalised cl</w:t>
      </w:r>
      <w:r w:rsidR="00CC3635" w:rsidRPr="000B39F3">
        <w:t>aims about the nature of the</w:t>
      </w:r>
      <w:r w:rsidR="00336396" w:rsidRPr="000B39F3">
        <w:t xml:space="preserve"> ECJ’s jurisprudence, in particular</w:t>
      </w:r>
      <w:r w:rsidR="00CC3635" w:rsidRPr="000B39F3">
        <w:t xml:space="preserve"> the alle</w:t>
      </w:r>
      <w:r w:rsidR="00091F84" w:rsidRPr="000B39F3">
        <w:t>ged failure to develop coherent</w:t>
      </w:r>
      <w:r w:rsidR="00CC3635" w:rsidRPr="000B39F3">
        <w:t>,</w:t>
      </w:r>
      <w:r w:rsidR="00091F84" w:rsidRPr="000B39F3">
        <w:t xml:space="preserve"> copyright specific reason</w:t>
      </w:r>
      <w:r w:rsidR="00CC3635" w:rsidRPr="000B39F3">
        <w:t>ing under a teleological interpretation of European Law</w:t>
      </w:r>
      <w:r w:rsidR="00091F84" w:rsidRPr="000B39F3">
        <w:t>.</w:t>
      </w:r>
      <w:r w:rsidR="00CA09A6" w:rsidRPr="000B39F3">
        <w:t xml:space="preserve"> </w:t>
      </w:r>
      <w:r w:rsidR="00055E67" w:rsidRPr="000B39F3">
        <w:t xml:space="preserve">A better empirical understanding </w:t>
      </w:r>
      <w:r w:rsidR="00E90FAB" w:rsidRPr="000B39F3">
        <w:t xml:space="preserve">of </w:t>
      </w:r>
      <w:r w:rsidR="00055E67" w:rsidRPr="000B39F3">
        <w:t xml:space="preserve">how European </w:t>
      </w:r>
      <w:r w:rsidR="00055E67" w:rsidRPr="000B39F3">
        <w:lastRenderedPageBreak/>
        <w:t xml:space="preserve">jurisprudence is created and shaped will also contribute to identifying dysfunctions that need to be addressed by prospective institutional reforms. </w:t>
      </w:r>
      <w:r w:rsidR="00CC3635" w:rsidRPr="000B39F3">
        <w:t xml:space="preserve">The </w:t>
      </w:r>
      <w:r w:rsidR="00091F84" w:rsidRPr="000B39F3">
        <w:t xml:space="preserve">introduction of specialised </w:t>
      </w:r>
      <w:r w:rsidR="00CC3635" w:rsidRPr="000B39F3">
        <w:t xml:space="preserve">(intellectual property) </w:t>
      </w:r>
      <w:r w:rsidR="00091F84" w:rsidRPr="000B39F3">
        <w:t xml:space="preserve">professionals within the </w:t>
      </w:r>
      <w:r w:rsidR="00CC3635" w:rsidRPr="000B39F3">
        <w:t xml:space="preserve">European </w:t>
      </w:r>
      <w:r w:rsidR="00091F84" w:rsidRPr="000B39F3">
        <w:t>Co</w:t>
      </w:r>
      <w:r w:rsidR="00CC3635" w:rsidRPr="000B39F3">
        <w:t xml:space="preserve">urt system is </w:t>
      </w:r>
      <w:r w:rsidR="00E90FAB" w:rsidRPr="000B39F3">
        <w:t>suggested as a possible solution</w:t>
      </w:r>
      <w:r w:rsidR="00CC3635" w:rsidRPr="000B39F3">
        <w:t xml:space="preserve">. </w:t>
      </w:r>
    </w:p>
    <w:p w14:paraId="316CFEF3" w14:textId="77777777" w:rsidR="00054F2A" w:rsidRPr="000B39F3" w:rsidRDefault="00054F2A" w:rsidP="00F46737">
      <w:pPr>
        <w:jc w:val="both"/>
      </w:pPr>
    </w:p>
    <w:p w14:paraId="7E67842F" w14:textId="486F7068" w:rsidR="001A1C63" w:rsidRPr="000B39F3" w:rsidRDefault="00054F2A" w:rsidP="00054F2A">
      <w:pPr>
        <w:jc w:val="center"/>
        <w:outlineLvl w:val="0"/>
        <w:rPr>
          <w:b/>
        </w:rPr>
      </w:pPr>
      <w:r w:rsidRPr="000B39F3">
        <w:rPr>
          <w:b/>
        </w:rPr>
        <w:t>THEORETICAL APPROACHES TO THE JURISPRUDENCE OF THE EUROPEAN COURT</w:t>
      </w:r>
    </w:p>
    <w:p w14:paraId="6446F3F6" w14:textId="77777777" w:rsidR="001A1C63" w:rsidRPr="000B39F3" w:rsidRDefault="0044079D" w:rsidP="00C67199">
      <w:pPr>
        <w:jc w:val="both"/>
      </w:pPr>
      <w:r w:rsidRPr="000B39F3">
        <w:t>It is almost trite to assert t</w:t>
      </w:r>
      <w:r w:rsidR="005A4A5E" w:rsidRPr="000B39F3">
        <w:t>he</w:t>
      </w:r>
      <w:r w:rsidRPr="000B39F3">
        <w:t xml:space="preserve"> pervasive</w:t>
      </w:r>
      <w:r w:rsidR="005A4A5E" w:rsidRPr="000B39F3">
        <w:t xml:space="preserve"> influence of the European Court of Justice on all fields of E</w:t>
      </w:r>
      <w:r w:rsidRPr="000B39F3">
        <w:t>uropean Law</w:t>
      </w:r>
      <w:r w:rsidR="005A4A5E" w:rsidRPr="000B39F3">
        <w:t>. Whether contained</w:t>
      </w:r>
      <w:bookmarkStart w:id="2" w:name="_Ref382492033"/>
      <w:r w:rsidR="005A4A5E" w:rsidRPr="000B39F3">
        <w:rPr>
          <w:rStyle w:val="FootnoteReference"/>
        </w:rPr>
        <w:footnoteReference w:id="13"/>
      </w:r>
      <w:bookmarkStart w:id="3" w:name="_RefF1"/>
      <w:bookmarkEnd w:id="2"/>
      <w:bookmarkEnd w:id="3"/>
      <w:r w:rsidR="0035446E" w:rsidRPr="000B39F3">
        <w:t xml:space="preserve"> and prudent</w:t>
      </w:r>
      <w:bookmarkStart w:id="4" w:name="_Ref384043971"/>
      <w:r w:rsidR="005A4A5E" w:rsidRPr="000B39F3">
        <w:rPr>
          <w:rStyle w:val="FootnoteReference"/>
        </w:rPr>
        <w:footnoteReference w:id="14"/>
      </w:r>
      <w:bookmarkEnd w:id="4"/>
      <w:r w:rsidR="005A4A5E" w:rsidRPr="000B39F3">
        <w:t xml:space="preserve"> or innovative and activist,</w:t>
      </w:r>
      <w:bookmarkStart w:id="5" w:name="_Ref382492002"/>
      <w:r w:rsidR="005A4A5E" w:rsidRPr="000B39F3">
        <w:rPr>
          <w:rStyle w:val="FootnoteReference"/>
        </w:rPr>
        <w:footnoteReference w:id="15"/>
      </w:r>
      <w:bookmarkStart w:id="6" w:name="_RefF3"/>
      <w:bookmarkEnd w:id="5"/>
      <w:bookmarkEnd w:id="6"/>
      <w:r w:rsidR="005A4A5E" w:rsidRPr="000B39F3">
        <w:t xml:space="preserve"> justice dispensed by the European Court </w:t>
      </w:r>
      <w:r w:rsidR="00336396" w:rsidRPr="000B39F3">
        <w:t>‘</w:t>
      </w:r>
      <w:r w:rsidR="005A4A5E" w:rsidRPr="000B39F3">
        <w:t>elicits compliance and bolsters its authority</w:t>
      </w:r>
      <w:r w:rsidR="00336396" w:rsidRPr="000B39F3">
        <w:t>’</w:t>
      </w:r>
      <w:r w:rsidR="005A4A5E" w:rsidRPr="000B39F3">
        <w:t>.</w:t>
      </w:r>
      <w:r w:rsidR="005A4A5E" w:rsidRPr="000B39F3">
        <w:rPr>
          <w:rStyle w:val="FootnoteReference"/>
        </w:rPr>
        <w:footnoteReference w:id="16"/>
      </w:r>
      <w:r w:rsidR="005A4A5E" w:rsidRPr="000B39F3">
        <w:t xml:space="preserve"> Two integration theories dominate the field of European political science: </w:t>
      </w:r>
      <w:r w:rsidR="003B2D9A" w:rsidRPr="000B39F3">
        <w:t>intergovernmental</w:t>
      </w:r>
      <w:r w:rsidRPr="000B39F3">
        <w:t xml:space="preserve"> and </w:t>
      </w:r>
      <w:r w:rsidR="005A4A5E" w:rsidRPr="000B39F3">
        <w:t xml:space="preserve">neo-functionalist. According to the first, policy-making at the EU level is the exclusive domain of Member </w:t>
      </w:r>
      <w:proofErr w:type="gramStart"/>
      <w:r w:rsidR="005A4A5E" w:rsidRPr="000B39F3">
        <w:t>States which</w:t>
      </w:r>
      <w:proofErr w:type="gramEnd"/>
      <w:r w:rsidR="005A4A5E" w:rsidRPr="000B39F3">
        <w:t xml:space="preserve"> elaborate policies at </w:t>
      </w:r>
      <w:r w:rsidR="003B2D9A" w:rsidRPr="000B39F3">
        <w:t>intergovernmental</w:t>
      </w:r>
      <w:r w:rsidR="005A4A5E" w:rsidRPr="000B39F3">
        <w:t xml:space="preserve"> level. Conversely, the latter theory argues that the difficulty in reaching consensus among EU Members prompts a </w:t>
      </w:r>
      <w:r w:rsidR="00336396" w:rsidRPr="000B39F3">
        <w:t>‘</w:t>
      </w:r>
      <w:proofErr w:type="spellStart"/>
      <w:r w:rsidR="005A4A5E" w:rsidRPr="000B39F3">
        <w:t>judicial</w:t>
      </w:r>
      <w:r w:rsidR="004142D7" w:rsidRPr="000B39F3">
        <w:t>is</w:t>
      </w:r>
      <w:r w:rsidR="005A4A5E" w:rsidRPr="000B39F3">
        <w:t>ation</w:t>
      </w:r>
      <w:proofErr w:type="spellEnd"/>
      <w:r w:rsidR="00336396" w:rsidRPr="000B39F3">
        <w:t>’</w:t>
      </w:r>
      <w:r w:rsidR="005A4A5E" w:rsidRPr="000B39F3">
        <w:t xml:space="preserve"> of the EU governance, whereby the Court sets legal principles that induce policy reforms, which in turn underpin further European jurisprudence, in a virtuous circle.</w:t>
      </w:r>
      <w:r w:rsidR="005A4A5E" w:rsidRPr="000B39F3">
        <w:rPr>
          <w:rStyle w:val="FootnoteReference"/>
        </w:rPr>
        <w:footnoteReference w:id="17"/>
      </w:r>
      <w:r w:rsidR="00910D5D" w:rsidRPr="000B39F3">
        <w:t xml:space="preserve"> These arguments are inscribed in the broader debate on the normative function of the Court, instrumental to European integration, discussed already by </w:t>
      </w:r>
      <w:r w:rsidR="002377A4" w:rsidRPr="000B39F3">
        <w:t>early commentators of European l</w:t>
      </w:r>
      <w:r w:rsidR="00910D5D" w:rsidRPr="000B39F3">
        <w:t>aw.</w:t>
      </w:r>
      <w:bookmarkStart w:id="7" w:name="_Ref384025443"/>
      <w:r w:rsidR="00910D5D" w:rsidRPr="000B39F3">
        <w:rPr>
          <w:rStyle w:val="FootnoteReference"/>
        </w:rPr>
        <w:footnoteReference w:id="18"/>
      </w:r>
      <w:bookmarkEnd w:id="7"/>
    </w:p>
    <w:p w14:paraId="110A0BFF" w14:textId="698EC12C" w:rsidR="001A1C63" w:rsidRPr="000B39F3" w:rsidRDefault="00213102" w:rsidP="00C67199">
      <w:pPr>
        <w:jc w:val="both"/>
      </w:pPr>
      <w:r w:rsidRPr="000B39F3">
        <w:t>Member States seem to accept the jurisprudence of the Court, willingly</w:t>
      </w:r>
      <w:bookmarkStart w:id="8" w:name="_Ref383613726"/>
      <w:r w:rsidRPr="000B39F3">
        <w:rPr>
          <w:rStyle w:val="FootnoteReference"/>
        </w:rPr>
        <w:footnoteReference w:id="19"/>
      </w:r>
      <w:bookmarkEnd w:id="8"/>
      <w:r w:rsidRPr="000B39F3">
        <w:t xml:space="preserve"> or unwillingly,</w:t>
      </w:r>
      <w:r w:rsidRPr="000B39F3">
        <w:rPr>
          <w:rStyle w:val="FootnoteReference"/>
        </w:rPr>
        <w:footnoteReference w:id="20"/>
      </w:r>
      <w:r w:rsidRPr="000B39F3">
        <w:t xml:space="preserve"> because on the one hand </w:t>
      </w:r>
      <w:r w:rsidR="005A4A5E" w:rsidRPr="000B39F3">
        <w:t>overturn</w:t>
      </w:r>
      <w:r w:rsidRPr="000B39F3">
        <w:t>ing</w:t>
      </w:r>
      <w:r w:rsidR="005A4A5E" w:rsidRPr="000B39F3">
        <w:t xml:space="preserve"> </w:t>
      </w:r>
      <w:proofErr w:type="gramStart"/>
      <w:r w:rsidR="005A4A5E" w:rsidRPr="000B39F3">
        <w:t>its</w:t>
      </w:r>
      <w:proofErr w:type="gramEnd"/>
      <w:r w:rsidR="005A4A5E" w:rsidRPr="000B39F3">
        <w:t xml:space="preserve"> ruling require</w:t>
      </w:r>
      <w:r w:rsidRPr="000B39F3">
        <w:t>s</w:t>
      </w:r>
      <w:r w:rsidR="005A4A5E" w:rsidRPr="000B39F3">
        <w:t xml:space="preserve"> a</w:t>
      </w:r>
      <w:r w:rsidRPr="000B39F3">
        <w:t xml:space="preserve"> modification of the Treaties</w:t>
      </w:r>
      <w:r w:rsidR="005A4A5E" w:rsidRPr="000B39F3">
        <w:rPr>
          <w:rStyle w:val="FootnoteReference"/>
        </w:rPr>
        <w:footnoteReference w:id="21"/>
      </w:r>
      <w:r w:rsidR="00884A7F" w:rsidRPr="000B39F3">
        <w:t xml:space="preserve"> </w:t>
      </w:r>
      <w:r w:rsidR="00B34A20" w:rsidRPr="000B39F3">
        <w:t>and on the other hand</w:t>
      </w:r>
      <w:r w:rsidR="00884A7F" w:rsidRPr="000B39F3">
        <w:t xml:space="preserve"> </w:t>
      </w:r>
      <w:r w:rsidR="00582904" w:rsidRPr="000B39F3">
        <w:t xml:space="preserve">the Court </w:t>
      </w:r>
      <w:r w:rsidR="00582904" w:rsidRPr="000B39F3">
        <w:lastRenderedPageBreak/>
        <w:t>enjoys support by</w:t>
      </w:r>
      <w:r w:rsidR="005A4A5E" w:rsidRPr="000B39F3">
        <w:t xml:space="preserve"> legal and political mobilization of interested parties.</w:t>
      </w:r>
      <w:r w:rsidR="005A4A5E" w:rsidRPr="000B39F3">
        <w:rPr>
          <w:rStyle w:val="FootnoteReference"/>
        </w:rPr>
        <w:footnoteReference w:id="22"/>
      </w:r>
      <w:r w:rsidR="005A4A5E" w:rsidRPr="000B39F3">
        <w:t xml:space="preserve"> However, </w:t>
      </w:r>
      <w:r w:rsidRPr="000B39F3">
        <w:t>it has been suggested</w:t>
      </w:r>
      <w:r w:rsidR="00884A7F" w:rsidRPr="000B39F3">
        <w:t xml:space="preserve"> </w:t>
      </w:r>
      <w:r w:rsidR="002377A4" w:rsidRPr="000B39F3">
        <w:t xml:space="preserve">that </w:t>
      </w:r>
      <w:r w:rsidR="005A4A5E" w:rsidRPr="000B39F3">
        <w:t>the Court is adopting approaches that contain its potential over-expansion</w:t>
      </w:r>
      <w:r w:rsidR="00640C2F" w:rsidRPr="000B39F3">
        <w:t>.</w:t>
      </w:r>
      <w:r w:rsidR="005A4A5E" w:rsidRPr="000B39F3">
        <w:rPr>
          <w:rStyle w:val="FootnoteReference"/>
        </w:rPr>
        <w:footnoteReference w:id="23"/>
      </w:r>
      <w:bookmarkStart w:id="9" w:name="_RefF10"/>
      <w:bookmarkStart w:id="10" w:name="_RefF12"/>
      <w:bookmarkEnd w:id="9"/>
      <w:bookmarkEnd w:id="10"/>
    </w:p>
    <w:p w14:paraId="497AF121" w14:textId="2352F7A2" w:rsidR="00910D5D" w:rsidRPr="000B39F3" w:rsidRDefault="00582904" w:rsidP="00C67199">
      <w:pPr>
        <w:jc w:val="both"/>
      </w:pPr>
      <w:r w:rsidRPr="000B39F3">
        <w:t>ECJ commentators are</w:t>
      </w:r>
      <w:r w:rsidR="00910D5D" w:rsidRPr="000B39F3">
        <w:t xml:space="preserve"> also divided between those claiming that the Court represents the interest of the most powerful EU Member States (the Principal-Agent theory)</w:t>
      </w:r>
      <w:r w:rsidR="00910D5D" w:rsidRPr="000B39F3">
        <w:rPr>
          <w:rStyle w:val="FootnoteReference"/>
        </w:rPr>
        <w:footnoteReference w:id="24"/>
      </w:r>
      <w:bookmarkStart w:id="11" w:name="_RefF15"/>
      <w:bookmarkEnd w:id="11"/>
      <w:r w:rsidR="00910D5D" w:rsidRPr="000B39F3">
        <w:t xml:space="preserve"> and others claiming that the Court, as many international courts, is impartial, independent, and consci</w:t>
      </w:r>
      <w:r w:rsidR="002377A4" w:rsidRPr="000B39F3">
        <w:t>ous of its reputation and</w:t>
      </w:r>
      <w:r w:rsidR="00910D5D" w:rsidRPr="000B39F3">
        <w:t xml:space="preserve"> mandate (Trustee rather than Agent).</w:t>
      </w:r>
      <w:r w:rsidR="00910D5D" w:rsidRPr="000B39F3">
        <w:rPr>
          <w:rStyle w:val="FootnoteReference"/>
        </w:rPr>
        <w:footnoteReference w:id="25"/>
      </w:r>
      <w:r w:rsidR="00F90BDA">
        <w:t xml:space="preserve"> Al</w:t>
      </w:r>
      <w:r w:rsidR="00910D5D" w:rsidRPr="000B39F3">
        <w:t xml:space="preserve">though not immune from policy influence and pressure, </w:t>
      </w:r>
      <w:r w:rsidR="00F90BDA">
        <w:t>the ECJ</w:t>
      </w:r>
      <w:r w:rsidR="00910D5D" w:rsidRPr="000B39F3">
        <w:t xml:space="preserve"> often produces </w:t>
      </w:r>
      <w:r w:rsidR="002377A4" w:rsidRPr="000B39F3">
        <w:t xml:space="preserve">outcomes </w:t>
      </w:r>
      <w:r w:rsidR="00910D5D" w:rsidRPr="000B39F3">
        <w:t>unexpected</w:t>
      </w:r>
      <w:r w:rsidR="0096632A" w:rsidRPr="000B39F3">
        <w:t>,</w:t>
      </w:r>
      <w:r w:rsidR="00910D5D" w:rsidRPr="000B39F3">
        <w:t xml:space="preserve"> and</w:t>
      </w:r>
      <w:r w:rsidR="0096632A" w:rsidRPr="000B39F3">
        <w:t xml:space="preserve"> uncontrolled </w:t>
      </w:r>
      <w:r w:rsidR="002377A4" w:rsidRPr="000B39F3">
        <w:t>by Member States</w:t>
      </w:r>
      <w:r w:rsidR="00910D5D" w:rsidRPr="000B39F3">
        <w:t>.</w:t>
      </w:r>
      <w:bookmarkStart w:id="12" w:name="_Ref383614063"/>
      <w:r w:rsidR="00910D5D" w:rsidRPr="000B39F3">
        <w:rPr>
          <w:rStyle w:val="FootnoteReference"/>
        </w:rPr>
        <w:footnoteReference w:id="26"/>
      </w:r>
      <w:bookmarkEnd w:id="12"/>
      <w:r w:rsidR="00910D5D" w:rsidRPr="000B39F3">
        <w:t xml:space="preserve"> It needs to be </w:t>
      </w:r>
      <w:r w:rsidR="002377A4" w:rsidRPr="000B39F3">
        <w:t>noted</w:t>
      </w:r>
      <w:r w:rsidR="00910D5D" w:rsidRPr="000B39F3">
        <w:t xml:space="preserve"> however that throughout history, according to the above </w:t>
      </w:r>
      <w:r w:rsidRPr="000B39F3">
        <w:t>literature</w:t>
      </w:r>
      <w:r w:rsidR="00910D5D" w:rsidRPr="000B39F3">
        <w:t>, the Court alt</w:t>
      </w:r>
      <w:r w:rsidR="0096632A" w:rsidRPr="000B39F3">
        <w:t>ernated bold legal innovation with</w:t>
      </w:r>
      <w:r w:rsidR="007819F4" w:rsidRPr="000B39F3">
        <w:t xml:space="preserve"> </w:t>
      </w:r>
      <w:r w:rsidR="00910D5D" w:rsidRPr="000B39F3">
        <w:t>conservative and cautious interpretation of EU law.</w:t>
      </w:r>
      <w:r w:rsidR="009661C4" w:rsidRPr="000B39F3">
        <w:rPr>
          <w:rStyle w:val="FootnoteReference"/>
        </w:rPr>
        <w:footnoteReference w:id="27"/>
      </w:r>
      <w:r w:rsidR="00910D5D" w:rsidRPr="000B39F3">
        <w:t xml:space="preserve"> This is true both thematically and chronologically.</w:t>
      </w:r>
      <w:r w:rsidR="00910D5D" w:rsidRPr="000B39F3">
        <w:rPr>
          <w:rStyle w:val="FootnoteReference"/>
        </w:rPr>
        <w:footnoteReference w:id="28"/>
      </w:r>
      <w:r w:rsidR="00910D5D" w:rsidRPr="000B39F3">
        <w:t xml:space="preserve"> In other words, the degree of innovation introduced by the ECJ </w:t>
      </w:r>
      <w:r w:rsidR="00EF4A18" w:rsidRPr="000B39F3">
        <w:t>judgment</w:t>
      </w:r>
      <w:r w:rsidR="00910D5D" w:rsidRPr="000B39F3">
        <w:t>s varies across time and areas of law.</w:t>
      </w:r>
    </w:p>
    <w:p w14:paraId="0C81615F" w14:textId="2772882A" w:rsidR="001A1C63" w:rsidRPr="000B39F3" w:rsidRDefault="00884A7F" w:rsidP="00C67199">
      <w:pPr>
        <w:jc w:val="both"/>
      </w:pPr>
      <w:r w:rsidRPr="000B39F3">
        <w:t>T</w:t>
      </w:r>
      <w:r w:rsidR="00910D5D" w:rsidRPr="000B39F3">
        <w:t xml:space="preserve">hese theories, albeit to a different extent, acknowledge that the Court triggers significant </w:t>
      </w:r>
      <w:r w:rsidR="0096632A" w:rsidRPr="000B39F3">
        <w:t>changes</w:t>
      </w:r>
      <w:r w:rsidR="00910D5D" w:rsidRPr="000B39F3">
        <w:t xml:space="preserve"> to EU policies, thanks to </w:t>
      </w:r>
      <w:r w:rsidR="002915BE" w:rsidRPr="000B39F3">
        <w:t>interventionist</w:t>
      </w:r>
      <w:r w:rsidR="00910D5D" w:rsidRPr="000B39F3">
        <w:t xml:space="preserve"> legal interpretations.</w:t>
      </w:r>
      <w:r w:rsidR="00910D5D" w:rsidRPr="000B39F3">
        <w:rPr>
          <w:rStyle w:val="FootnoteReference"/>
        </w:rPr>
        <w:footnoteReference w:id="29"/>
      </w:r>
      <w:r w:rsidR="00336396" w:rsidRPr="000B39F3">
        <w:t xml:space="preserve"> Moreover, the Court’</w:t>
      </w:r>
      <w:r w:rsidR="00910D5D" w:rsidRPr="000B39F3">
        <w:t xml:space="preserve">s remit witnessed a gradual expansion, including jurisdiction on highly </w:t>
      </w:r>
      <w:r w:rsidR="002915BE" w:rsidRPr="000B39F3">
        <w:t>technical</w:t>
      </w:r>
      <w:r w:rsidR="00910D5D" w:rsidRPr="000B39F3">
        <w:t xml:space="preserve"> </w:t>
      </w:r>
      <w:proofErr w:type="gramStart"/>
      <w:r w:rsidR="00910D5D" w:rsidRPr="000B39F3">
        <w:t>subject-matters</w:t>
      </w:r>
      <w:proofErr w:type="gramEnd"/>
      <w:r w:rsidR="00910D5D" w:rsidRPr="000B39F3">
        <w:t xml:space="preserve"> (for example, competition law, constitutional law, labour law, etc.) w</w:t>
      </w:r>
      <w:r w:rsidR="00975314" w:rsidRPr="000B39F3">
        <w:t>ithout a corresponding specialis</w:t>
      </w:r>
      <w:r w:rsidR="00910D5D" w:rsidRPr="000B39F3">
        <w:t>ation of the Court</w:t>
      </w:r>
      <w:r w:rsidR="00336396" w:rsidRPr="000B39F3">
        <w:t>’</w:t>
      </w:r>
      <w:r w:rsidR="00910D5D" w:rsidRPr="000B39F3">
        <w:t>s chambers or judges, hence r</w:t>
      </w:r>
      <w:r w:rsidR="00661C7F" w:rsidRPr="000B39F3">
        <w:t>a</w:t>
      </w:r>
      <w:r w:rsidR="00910D5D" w:rsidRPr="000B39F3">
        <w:t>ising concerns about its credibility.</w:t>
      </w:r>
      <w:bookmarkStart w:id="13" w:name="_Ref384042195"/>
      <w:r w:rsidR="00910D5D" w:rsidRPr="000B39F3">
        <w:rPr>
          <w:rStyle w:val="FootnoteReference"/>
        </w:rPr>
        <w:footnoteReference w:id="30"/>
      </w:r>
      <w:bookmarkEnd w:id="13"/>
      <w:r w:rsidR="0030222C" w:rsidRPr="000B39F3">
        <w:t xml:space="preserve"> In the field of copyright, for example, some suggest</w:t>
      </w:r>
      <w:r w:rsidR="005A4A5E" w:rsidRPr="000B39F3">
        <w:t xml:space="preserve"> that the rulings of the Court step in where European law leaves gaps and loopholes, and </w:t>
      </w:r>
      <w:r w:rsidR="0096632A" w:rsidRPr="000B39F3">
        <w:t xml:space="preserve">that </w:t>
      </w:r>
      <w:r w:rsidR="005A4A5E" w:rsidRPr="000B39F3">
        <w:t xml:space="preserve">they </w:t>
      </w:r>
      <w:r w:rsidR="0096632A" w:rsidRPr="000B39F3">
        <w:t>appear to be</w:t>
      </w:r>
      <w:r w:rsidR="005A4A5E" w:rsidRPr="000B39F3">
        <w:t xml:space="preserve"> motivated by </w:t>
      </w:r>
      <w:r w:rsidR="00FA14C0" w:rsidRPr="000B39F3">
        <w:t>a</w:t>
      </w:r>
      <w:r w:rsidR="005A4A5E" w:rsidRPr="000B39F3">
        <w:t xml:space="preserve"> harmonising agenda </w:t>
      </w:r>
      <w:r w:rsidR="00910D5D" w:rsidRPr="000B39F3">
        <w:t>which overshadow rigo</w:t>
      </w:r>
      <w:r w:rsidR="0030222C" w:rsidRPr="000B39F3">
        <w:t>rous subject-specific reasoning</w:t>
      </w:r>
      <w:r w:rsidR="005A4A5E" w:rsidRPr="000B39F3">
        <w:t>.</w:t>
      </w:r>
      <w:r w:rsidRPr="000B39F3">
        <w:rPr>
          <w:rStyle w:val="FootnoteReference"/>
        </w:rPr>
        <w:t xml:space="preserve"> </w:t>
      </w:r>
      <w:r w:rsidR="003E18E9" w:rsidRPr="000B39F3">
        <w:t>It has also been argued that the Court builds up its ow</w:t>
      </w:r>
      <w:r w:rsidR="0096632A" w:rsidRPr="000B39F3">
        <w:t>n concepts of copyright law (</w:t>
      </w:r>
      <w:r w:rsidR="003E18E9" w:rsidRPr="000B39F3">
        <w:t xml:space="preserve">for example the concept of </w:t>
      </w:r>
      <w:r w:rsidR="00336396" w:rsidRPr="000B39F3">
        <w:t>‘</w:t>
      </w:r>
      <w:r w:rsidR="003E18E9" w:rsidRPr="000B39F3">
        <w:t>new public</w:t>
      </w:r>
      <w:r w:rsidR="00336396" w:rsidRPr="000B39F3">
        <w:t>’</w:t>
      </w:r>
      <w:r w:rsidR="00CA09A6" w:rsidRPr="000B39F3">
        <w:t xml:space="preserve"> </w:t>
      </w:r>
      <w:r w:rsidR="0096632A" w:rsidRPr="000B39F3">
        <w:t>in</w:t>
      </w:r>
      <w:r w:rsidR="003E18E9" w:rsidRPr="000B39F3">
        <w:t xml:space="preserve"> relation to the right to communication to the </w:t>
      </w:r>
      <w:r w:rsidR="00CA09A6" w:rsidRPr="000B39F3">
        <w:t>public) in order to advance a</w:t>
      </w:r>
      <w:r w:rsidR="003E18E9" w:rsidRPr="000B39F3">
        <w:t xml:space="preserve"> harmonising or political agenda.</w:t>
      </w:r>
      <w:r w:rsidR="009661C4" w:rsidRPr="000B39F3">
        <w:rPr>
          <w:rStyle w:val="FootnoteReference"/>
        </w:rPr>
        <w:footnoteReference w:id="31"/>
      </w:r>
    </w:p>
    <w:p w14:paraId="5A813FF1" w14:textId="1DC0EB61" w:rsidR="0030222C" w:rsidRPr="000B39F3" w:rsidRDefault="00407DF4" w:rsidP="00C67199">
      <w:pPr>
        <w:jc w:val="both"/>
      </w:pPr>
      <w:r w:rsidRPr="000B39F3">
        <w:t xml:space="preserve">In sum, </w:t>
      </w:r>
      <w:r w:rsidR="0009493F" w:rsidRPr="000B39F3">
        <w:t>thanks to the indeterminacy of European law, legal interpretation</w:t>
      </w:r>
      <w:r w:rsidRPr="000B39F3">
        <w:t xml:space="preserve"> in the hand</w:t>
      </w:r>
      <w:r w:rsidR="002377A4" w:rsidRPr="000B39F3">
        <w:t>s</w:t>
      </w:r>
      <w:r w:rsidRPr="000B39F3">
        <w:t xml:space="preserve"> of </w:t>
      </w:r>
      <w:r w:rsidR="0009493F" w:rsidRPr="000B39F3">
        <w:t xml:space="preserve">the European judiciary transcends its traditional function. </w:t>
      </w:r>
      <w:r w:rsidR="0030222C" w:rsidRPr="000B39F3">
        <w:t xml:space="preserve">Unlike in most legal system, European law does not provide in </w:t>
      </w:r>
      <w:r w:rsidR="0030222C" w:rsidRPr="000B39F3">
        <w:lastRenderedPageBreak/>
        <w:t xml:space="preserve">its texts the criteria to interpret its own legislation and norms. Directions on how the </w:t>
      </w:r>
      <w:proofErr w:type="spellStart"/>
      <w:r w:rsidR="0030222C" w:rsidRPr="000B39F3">
        <w:rPr>
          <w:i/>
        </w:rPr>
        <w:t>acquis</w:t>
      </w:r>
      <w:proofErr w:type="spellEnd"/>
      <w:r w:rsidR="00CA09A6" w:rsidRPr="000B39F3">
        <w:rPr>
          <w:i/>
        </w:rPr>
        <w:t xml:space="preserve"> </w:t>
      </w:r>
      <w:proofErr w:type="spellStart"/>
      <w:r w:rsidR="0030222C" w:rsidRPr="000B39F3">
        <w:rPr>
          <w:i/>
        </w:rPr>
        <w:t>communautaire</w:t>
      </w:r>
      <w:proofErr w:type="spellEnd"/>
      <w:r w:rsidR="0030222C" w:rsidRPr="000B39F3">
        <w:t xml:space="preserve"> has to be construed </w:t>
      </w:r>
      <w:r w:rsidR="0096632A" w:rsidRPr="000B39F3">
        <w:t>will</w:t>
      </w:r>
      <w:r w:rsidR="0030222C" w:rsidRPr="000B39F3">
        <w:t xml:space="preserve"> be drawn therefore </w:t>
      </w:r>
      <w:r w:rsidR="0096632A" w:rsidRPr="000B39F3">
        <w:t>from</w:t>
      </w:r>
      <w:r w:rsidR="0030222C" w:rsidRPr="000B39F3">
        <w:t xml:space="preserve"> the jurisprudence of the Court, both from its express guidance on interpretation and from its most current practice. An example of specific guidelines issued by the Court is provided by the landmark case </w:t>
      </w:r>
      <w:r w:rsidR="0030222C" w:rsidRPr="000B39F3">
        <w:rPr>
          <w:i/>
        </w:rPr>
        <w:t>CILIFT</w:t>
      </w:r>
      <w:r w:rsidR="0030222C" w:rsidRPr="000B39F3">
        <w:rPr>
          <w:rStyle w:val="FootnoteReference"/>
        </w:rPr>
        <w:footnoteReference w:id="32"/>
      </w:r>
      <w:r w:rsidR="0030222C" w:rsidRPr="000B39F3">
        <w:t>, where the C</w:t>
      </w:r>
      <w:r w:rsidR="0096632A" w:rsidRPr="000B39F3">
        <w:t>ourt stated several principles:</w:t>
      </w:r>
      <w:r w:rsidR="00351398" w:rsidRPr="000B39F3">
        <w:t xml:space="preserve"> f</w:t>
      </w:r>
      <w:r w:rsidR="0030222C" w:rsidRPr="000B39F3">
        <w:t xml:space="preserve">irst, that Community legislation is drafted in several languages, all of which are authentic </w:t>
      </w:r>
      <w:r w:rsidR="00351398" w:rsidRPr="000B39F3">
        <w:t>and which have to be compared; s</w:t>
      </w:r>
      <w:r w:rsidR="0030222C" w:rsidRPr="000B39F3">
        <w:t>econd</w:t>
      </w:r>
      <w:r w:rsidR="00336396" w:rsidRPr="000B39F3">
        <w:t>ly</w:t>
      </w:r>
      <w:r w:rsidR="0030222C" w:rsidRPr="000B39F3">
        <w:t>, that Community law</w:t>
      </w:r>
      <w:r w:rsidR="00351398" w:rsidRPr="000B39F3">
        <w:t xml:space="preserve"> has its peculiar terminology; t</w:t>
      </w:r>
      <w:r w:rsidR="0030222C" w:rsidRPr="000B39F3">
        <w:t>hird</w:t>
      </w:r>
      <w:r w:rsidR="00336396" w:rsidRPr="000B39F3">
        <w:t>ly</w:t>
      </w:r>
      <w:r w:rsidR="0030222C" w:rsidRPr="000B39F3">
        <w:t>, that provisions of European law need to be put in context and interpreted according to the purpose of community law as a whole.</w:t>
      </w:r>
      <w:bookmarkStart w:id="14" w:name="_Ref384040699"/>
      <w:r w:rsidR="0030222C" w:rsidRPr="000B39F3">
        <w:rPr>
          <w:rStyle w:val="FootnoteReference"/>
        </w:rPr>
        <w:footnoteReference w:id="33"/>
      </w:r>
      <w:bookmarkEnd w:id="14"/>
    </w:p>
    <w:p w14:paraId="2B7EF6DD" w14:textId="6052A1D9" w:rsidR="0030222C" w:rsidRPr="000B39F3" w:rsidRDefault="0030222C" w:rsidP="00C67199">
      <w:pPr>
        <w:jc w:val="both"/>
      </w:pPr>
      <w:r w:rsidRPr="000B39F3">
        <w:t xml:space="preserve">Common interpretative practices of the Court as reported by the literature involve the use of traditional </w:t>
      </w:r>
      <w:r w:rsidR="00030A58" w:rsidRPr="000B39F3">
        <w:t>interpretative approaches</w:t>
      </w:r>
      <w:r w:rsidRPr="000B39F3">
        <w:t xml:space="preserve">, generally classified </w:t>
      </w:r>
      <w:r w:rsidR="0027016E" w:rsidRPr="000B39F3">
        <w:t>as</w:t>
      </w:r>
      <w:r w:rsidR="0096632A" w:rsidRPr="000B39F3">
        <w:t xml:space="preserve"> semantic</w:t>
      </w:r>
      <w:r w:rsidR="00336396" w:rsidRPr="000B39F3">
        <w:t>/semiotic</w:t>
      </w:r>
      <w:r w:rsidRPr="000B39F3">
        <w:t>, contextual</w:t>
      </w:r>
      <w:r w:rsidR="00336396" w:rsidRPr="000B39F3">
        <w:t>/systematic</w:t>
      </w:r>
      <w:r w:rsidRPr="000B39F3">
        <w:t xml:space="preserve"> and teleological</w:t>
      </w:r>
      <w:r w:rsidR="00336396" w:rsidRPr="000B39F3">
        <w:t>/dynamic</w:t>
      </w:r>
      <w:r w:rsidRPr="000B39F3">
        <w:t>, with the addition of peculiar canons specific to the EU (</w:t>
      </w:r>
      <w:proofErr w:type="spellStart"/>
      <w:r w:rsidRPr="000B39F3">
        <w:rPr>
          <w:i/>
        </w:rPr>
        <w:t>effet</w:t>
      </w:r>
      <w:proofErr w:type="spellEnd"/>
      <w:r w:rsidRPr="000B39F3">
        <w:rPr>
          <w:i/>
        </w:rPr>
        <w:t xml:space="preserve"> utile</w:t>
      </w:r>
      <w:r w:rsidRPr="000B39F3">
        <w:t>, proportionality principle, uniform application, etc.). While some studies on European juri</w:t>
      </w:r>
      <w:r w:rsidR="0096632A" w:rsidRPr="000B39F3">
        <w:t>sprudence detect an arbitrary im</w:t>
      </w:r>
      <w:r w:rsidRPr="000B39F3">
        <w:t xml:space="preserve">balance in the weight assigned to such </w:t>
      </w:r>
      <w:r w:rsidRPr="000B39F3">
        <w:rPr>
          <w:i/>
        </w:rPr>
        <w:t>topoi</w:t>
      </w:r>
      <w:r w:rsidRPr="000B39F3">
        <w:t xml:space="preserve">, </w:t>
      </w:r>
      <w:r w:rsidR="00002A9A" w:rsidRPr="000B39F3">
        <w:t>with a favour for</w:t>
      </w:r>
      <w:r w:rsidRPr="000B39F3">
        <w:t xml:space="preserve"> teleological canons instead of semantic interpretations,</w:t>
      </w:r>
      <w:r w:rsidRPr="000B39F3">
        <w:rPr>
          <w:rStyle w:val="FootnoteReference"/>
        </w:rPr>
        <w:footnoteReference w:id="34"/>
      </w:r>
      <w:r w:rsidRPr="000B39F3">
        <w:t xml:space="preserve"> other researchers provide a different picture. </w:t>
      </w:r>
      <w:proofErr w:type="spellStart"/>
      <w:r w:rsidRPr="000B39F3">
        <w:t>Bengoetxea</w:t>
      </w:r>
      <w:proofErr w:type="spellEnd"/>
      <w:r w:rsidRPr="000B39F3">
        <w:t xml:space="preserve"> and Beck</w:t>
      </w:r>
      <w:r w:rsidR="00582904" w:rsidRPr="000B39F3">
        <w:t xml:space="preserve"> for example, in their respective works,</w:t>
      </w:r>
      <w:r w:rsidRPr="000B39F3">
        <w:t xml:space="preserve"> affirm that </w:t>
      </w:r>
      <w:proofErr w:type="gramStart"/>
      <w:r w:rsidR="0096632A" w:rsidRPr="000B39F3">
        <w:t>semantic</w:t>
      </w:r>
      <w:r w:rsidRPr="000B39F3">
        <w:t xml:space="preserve"> arguments are preferred by the Court</w:t>
      </w:r>
      <w:proofErr w:type="gramEnd"/>
      <w:r w:rsidRPr="000B39F3">
        <w:t xml:space="preserve"> whenever the text of the law is clear, detailed, and univocal (especially in different translations). </w:t>
      </w:r>
      <w:r w:rsidR="00B718A1" w:rsidRPr="000B39F3">
        <w:t>I</w:t>
      </w:r>
      <w:r w:rsidRPr="000B39F3">
        <w:t>f the Court appears to give to semantic argument</w:t>
      </w:r>
      <w:r w:rsidR="00C61688" w:rsidRPr="000B39F3">
        <w:t>s</w:t>
      </w:r>
      <w:r w:rsidRPr="000B39F3">
        <w:t xml:space="preserve"> less weight than most high courts</w:t>
      </w:r>
      <w:r w:rsidR="0096632A" w:rsidRPr="000B39F3">
        <w:t>,</w:t>
      </w:r>
      <w:r w:rsidR="00351398" w:rsidRPr="000B39F3">
        <w:t xml:space="preserve"> </w:t>
      </w:r>
      <w:r w:rsidR="0096632A" w:rsidRPr="000B39F3">
        <w:t xml:space="preserve">it </w:t>
      </w:r>
      <w:r w:rsidRPr="000B39F3">
        <w:t>is because of the inherent ambiguity of European law.</w:t>
      </w:r>
      <w:bookmarkStart w:id="15" w:name="_Ref404328775"/>
      <w:r w:rsidRPr="000B39F3">
        <w:rPr>
          <w:rStyle w:val="FootnoteReference"/>
        </w:rPr>
        <w:footnoteReference w:id="35"/>
      </w:r>
      <w:bookmarkEnd w:id="15"/>
    </w:p>
    <w:p w14:paraId="40D14EDB" w14:textId="77777777" w:rsidR="00D62398" w:rsidRPr="000B39F3" w:rsidRDefault="00F159FD" w:rsidP="00C67199">
      <w:pPr>
        <w:jc w:val="both"/>
      </w:pPr>
      <w:r w:rsidRPr="000B39F3">
        <w:t>In sum, p</w:t>
      </w:r>
      <w:r w:rsidR="0030222C" w:rsidRPr="000B39F3">
        <w:t xml:space="preserve">roblematic issues </w:t>
      </w:r>
      <w:r w:rsidR="00030A58" w:rsidRPr="000B39F3">
        <w:t xml:space="preserve">identified in the literature </w:t>
      </w:r>
      <w:r w:rsidR="0030222C" w:rsidRPr="000B39F3">
        <w:t xml:space="preserve">regarding the approach of the ECJ in interpreting and applying European law </w:t>
      </w:r>
      <w:r w:rsidRPr="000B39F3">
        <w:t>are</w:t>
      </w:r>
      <w:r w:rsidR="0030222C" w:rsidRPr="000B39F3">
        <w:t xml:space="preserve">: a) the Court </w:t>
      </w:r>
      <w:r w:rsidR="0096632A" w:rsidRPr="000B39F3">
        <w:t>is said to</w:t>
      </w:r>
      <w:r w:rsidR="00CA09A6" w:rsidRPr="000B39F3">
        <w:t xml:space="preserve"> </w:t>
      </w:r>
      <w:r w:rsidR="00030A58" w:rsidRPr="000B39F3">
        <w:t>over-use teleological</w:t>
      </w:r>
      <w:r w:rsidR="0030222C" w:rsidRPr="000B39F3">
        <w:t xml:space="preserve"> interpretation in order to carry out its harmonising agenda; b) the rulings of the Court do </w:t>
      </w:r>
      <w:r w:rsidR="0031636D" w:rsidRPr="000B39F3">
        <w:t>not reveal</w:t>
      </w:r>
      <w:r w:rsidR="00D62398" w:rsidRPr="000B39F3">
        <w:t xml:space="preserve"> a</w:t>
      </w:r>
      <w:r w:rsidR="00CA09A6" w:rsidRPr="000B39F3">
        <w:t xml:space="preserve"> </w:t>
      </w:r>
      <w:r w:rsidR="0031636D" w:rsidRPr="000B39F3">
        <w:t>consistent</w:t>
      </w:r>
      <w:r w:rsidR="0030222C" w:rsidRPr="000B39F3">
        <w:t xml:space="preserve"> and </w:t>
      </w:r>
      <w:r w:rsidR="0031636D" w:rsidRPr="000B39F3">
        <w:t>foreseeable</w:t>
      </w:r>
      <w:r w:rsidR="0030222C" w:rsidRPr="000B39F3">
        <w:t xml:space="preserve"> pattern, apart from the consolida</w:t>
      </w:r>
      <w:r w:rsidR="00F622F5" w:rsidRPr="000B39F3">
        <w:t>tion of European law; c) the above issues are</w:t>
      </w:r>
      <w:r w:rsidR="0030222C" w:rsidRPr="000B39F3">
        <w:t xml:space="preserve"> particularly evident in subject-specific areas, where the Court </w:t>
      </w:r>
      <w:r w:rsidR="0031636D" w:rsidRPr="000B39F3">
        <w:t>relinquish specialist doctrine in favour of a European agenda.</w:t>
      </w:r>
    </w:p>
    <w:p w14:paraId="38CB07D8" w14:textId="77777777" w:rsidR="00030A58" w:rsidRPr="000B39F3" w:rsidRDefault="009E2C2D" w:rsidP="00A650A0">
      <w:pPr>
        <w:jc w:val="both"/>
      </w:pPr>
      <w:r w:rsidRPr="000B39F3">
        <w:t>However, t</w:t>
      </w:r>
      <w:r w:rsidR="00217838" w:rsidRPr="000B39F3">
        <w:t xml:space="preserve">hese assumptions </w:t>
      </w:r>
      <w:r w:rsidR="00DE0404" w:rsidRPr="000B39F3">
        <w:t>have not</w:t>
      </w:r>
      <w:r w:rsidR="00D67653" w:rsidRPr="000B39F3">
        <w:t xml:space="preserve"> been explored empirically</w:t>
      </w:r>
      <w:r w:rsidR="00106CD8" w:rsidRPr="000B39F3">
        <w:t xml:space="preserve">, </w:t>
      </w:r>
      <w:r w:rsidR="00E73CAE" w:rsidRPr="000B39F3">
        <w:t xml:space="preserve">a gap that the present study will </w:t>
      </w:r>
      <w:r w:rsidR="00DE0404" w:rsidRPr="000B39F3">
        <w:t>address</w:t>
      </w:r>
      <w:r w:rsidR="00030A58" w:rsidRPr="000B39F3">
        <w:t xml:space="preserve"> in one specific subject domain</w:t>
      </w:r>
      <w:r w:rsidR="00E73CAE" w:rsidRPr="000B39F3">
        <w:t>.</w:t>
      </w:r>
    </w:p>
    <w:p w14:paraId="5FF8AC9A" w14:textId="77777777" w:rsidR="00D41AA1" w:rsidRPr="000B39F3" w:rsidRDefault="00D41AA1" w:rsidP="00A650A0">
      <w:pPr>
        <w:jc w:val="both"/>
      </w:pPr>
    </w:p>
    <w:p w14:paraId="6202868E" w14:textId="77777777" w:rsidR="00596B64" w:rsidRPr="000B39F3" w:rsidRDefault="00596B64">
      <w:pPr>
        <w:spacing w:line="276" w:lineRule="auto"/>
        <w:rPr>
          <w:u w:val="single"/>
        </w:rPr>
      </w:pPr>
      <w:r w:rsidRPr="000B39F3">
        <w:rPr>
          <w:u w:val="single"/>
        </w:rPr>
        <w:br w:type="page"/>
      </w:r>
    </w:p>
    <w:p w14:paraId="15F0E408" w14:textId="2702885C" w:rsidR="001A1C63" w:rsidRPr="000B39F3" w:rsidRDefault="00054F2A" w:rsidP="00054F2A">
      <w:pPr>
        <w:jc w:val="center"/>
        <w:outlineLvl w:val="0"/>
        <w:rPr>
          <w:b/>
        </w:rPr>
      </w:pPr>
      <w:r w:rsidRPr="000B39F3">
        <w:rPr>
          <w:b/>
        </w:rPr>
        <w:lastRenderedPageBreak/>
        <w:t>METHODOLOGICAL APPROACH</w:t>
      </w:r>
    </w:p>
    <w:p w14:paraId="5568D6B4" w14:textId="679D5C07" w:rsidR="001A1C63" w:rsidRPr="000B39F3" w:rsidRDefault="005A4A5E" w:rsidP="00C67199">
      <w:pPr>
        <w:jc w:val="both"/>
      </w:pPr>
      <w:r w:rsidRPr="000B39F3">
        <w:t>Previous empirical research on the EC</w:t>
      </w:r>
      <w:r w:rsidR="00975314" w:rsidRPr="000B39F3">
        <w:t xml:space="preserve">J </w:t>
      </w:r>
      <w:r w:rsidR="00251975" w:rsidRPr="000B39F3">
        <w:t>has used both</w:t>
      </w:r>
      <w:r w:rsidR="00FD77A9" w:rsidRPr="000B39F3">
        <w:t xml:space="preserve"> qualitative and quanti</w:t>
      </w:r>
      <w:r w:rsidRPr="000B39F3">
        <w:t>tative methods to explore the influence of the Court on EU policy-making. These studies are based either on a chronological selection of cases</w:t>
      </w:r>
      <w:r w:rsidRPr="000B39F3">
        <w:rPr>
          <w:rStyle w:val="FootnoteReference"/>
        </w:rPr>
        <w:footnoteReference w:id="36"/>
      </w:r>
      <w:r w:rsidRPr="000B39F3">
        <w:t xml:space="preserve"> or on a </w:t>
      </w:r>
      <w:r w:rsidR="002775B0" w:rsidRPr="000B39F3">
        <w:t>thematic</w:t>
      </w:r>
      <w:r w:rsidRPr="000B39F3">
        <w:t xml:space="preserve"> selection</w:t>
      </w:r>
      <w:bookmarkStart w:id="16" w:name="_Ref383614611"/>
      <w:r w:rsidRPr="000B39F3">
        <w:rPr>
          <w:rStyle w:val="FootnoteReference"/>
        </w:rPr>
        <w:footnoteReference w:id="37"/>
      </w:r>
      <w:bookmarkEnd w:id="16"/>
      <w:r w:rsidR="00D67653" w:rsidRPr="000B39F3">
        <w:t>.</w:t>
      </w:r>
      <w:r w:rsidR="00074BCB" w:rsidRPr="000B39F3">
        <w:t xml:space="preserve"> Mostly, these studies </w:t>
      </w:r>
      <w:r w:rsidR="00FD77A9" w:rsidRPr="000B39F3">
        <w:t>examine</w:t>
      </w:r>
      <w:r w:rsidR="00074BCB" w:rsidRPr="000B39F3">
        <w:t>d</w:t>
      </w:r>
      <w:r w:rsidRPr="000B39F3">
        <w:t xml:space="preserve"> the </w:t>
      </w:r>
      <w:r w:rsidR="004B0D68" w:rsidRPr="000B39F3">
        <w:t xml:space="preserve">impact of the observations of Member States and EU institutions (e.g. the EU Commission) on the </w:t>
      </w:r>
      <w:r w:rsidR="00251975" w:rsidRPr="000B39F3">
        <w:t>opinions</w:t>
      </w:r>
      <w:r w:rsidR="004B0D68" w:rsidRPr="000B39F3">
        <w:t xml:space="preserve"> of the Advocate General and on the </w:t>
      </w:r>
      <w:r w:rsidR="00EF4A18" w:rsidRPr="000B39F3">
        <w:t>judgment</w:t>
      </w:r>
      <w:r w:rsidRPr="000B39F3">
        <w:t xml:space="preserve">. </w:t>
      </w:r>
    </w:p>
    <w:p w14:paraId="3201A264" w14:textId="1476097D" w:rsidR="001E0862" w:rsidRPr="000B39F3" w:rsidRDefault="005A4A5E" w:rsidP="00C67199">
      <w:pPr>
        <w:jc w:val="both"/>
      </w:pPr>
      <w:r w:rsidRPr="000B39F3">
        <w:t xml:space="preserve">Other </w:t>
      </w:r>
      <w:r w:rsidR="00251975" w:rsidRPr="000B39F3">
        <w:t>jurisprudential research</w:t>
      </w:r>
      <w:r w:rsidRPr="000B39F3">
        <w:t xml:space="preserve"> examines the decis</w:t>
      </w:r>
      <w:r w:rsidR="00A11C67" w:rsidRPr="000B39F3">
        <w:t>ion-making process of the Court</w:t>
      </w:r>
      <w:bookmarkStart w:id="17" w:name="_Ref383615027"/>
      <w:r w:rsidRPr="000B39F3">
        <w:rPr>
          <w:rStyle w:val="FootnoteReference"/>
        </w:rPr>
        <w:footnoteReference w:id="38"/>
      </w:r>
      <w:bookmarkStart w:id="18" w:name="_RefF23"/>
      <w:bookmarkEnd w:id="17"/>
      <w:bookmarkEnd w:id="18"/>
      <w:r w:rsidRPr="000B39F3">
        <w:t xml:space="preserve"> by analysing a number of judicial decisions as case studies</w:t>
      </w:r>
      <w:r w:rsidR="00A11C67" w:rsidRPr="000B39F3">
        <w:t>,</w:t>
      </w:r>
      <w:r w:rsidR="00251975" w:rsidRPr="000B39F3">
        <w:t xml:space="preserve"> </w:t>
      </w:r>
      <w:r w:rsidR="004B0D68" w:rsidRPr="000B39F3">
        <w:t>in search of specific patterns in the Court</w:t>
      </w:r>
      <w:r w:rsidR="00336396" w:rsidRPr="000B39F3">
        <w:t>’</w:t>
      </w:r>
      <w:r w:rsidR="00DE0404" w:rsidRPr="000B39F3">
        <w:t>s</w:t>
      </w:r>
      <w:r w:rsidR="004B0D68" w:rsidRPr="000B39F3">
        <w:t xml:space="preserve"> approaches. </w:t>
      </w:r>
    </w:p>
    <w:p w14:paraId="03BF987E" w14:textId="1663C0EB" w:rsidR="00B66A56" w:rsidRPr="000B39F3" w:rsidRDefault="003A4FCF" w:rsidP="00C67199">
      <w:pPr>
        <w:jc w:val="both"/>
      </w:pPr>
      <w:r w:rsidRPr="000B39F3">
        <w:t>With a focus on copyright case-</w:t>
      </w:r>
      <w:r w:rsidR="009B73EA" w:rsidRPr="000B39F3">
        <w:t xml:space="preserve">law, </w:t>
      </w:r>
      <w:r w:rsidR="00A1576C" w:rsidRPr="000B39F3">
        <w:t>our</w:t>
      </w:r>
      <w:r w:rsidR="00EF4A18" w:rsidRPr="000B39F3">
        <w:t xml:space="preserve"> </w:t>
      </w:r>
      <w:r w:rsidR="00B718A1" w:rsidRPr="000B39F3">
        <w:t>study aims to provide empirical evidence on the claims</w:t>
      </w:r>
      <w:r w:rsidR="00B66A56" w:rsidRPr="000B39F3">
        <w:t xml:space="preserve"> that the</w:t>
      </w:r>
      <w:r w:rsidR="00251975" w:rsidRPr="000B39F3">
        <w:t xml:space="preserve"> Court is pursuing an interventionist</w:t>
      </w:r>
      <w:r w:rsidR="00B66A56" w:rsidRPr="000B39F3">
        <w:t xml:space="preserve"> agend</w:t>
      </w:r>
      <w:r w:rsidR="00251975" w:rsidRPr="000B39F3">
        <w:t>a</w:t>
      </w:r>
      <w:r w:rsidR="00B66A56" w:rsidRPr="000B39F3">
        <w:t xml:space="preserve"> by analysing the complete set of </w:t>
      </w:r>
      <w:r w:rsidR="00EF4A18" w:rsidRPr="000B39F3">
        <w:t>judgment</w:t>
      </w:r>
      <w:r w:rsidR="00B66A56" w:rsidRPr="000B39F3">
        <w:t xml:space="preserve">s in one specific technical subject domain where the pattern (according to theory) should be particularly apparent (e.g. through inconsistent, unpredictable </w:t>
      </w:r>
      <w:r w:rsidR="00251975" w:rsidRPr="000B39F3">
        <w:t xml:space="preserve">reasoning and </w:t>
      </w:r>
      <w:r w:rsidR="00D0680E" w:rsidRPr="000B39F3">
        <w:t>expansionist</w:t>
      </w:r>
      <w:r w:rsidR="00251975" w:rsidRPr="000B39F3">
        <w:t xml:space="preserve"> </w:t>
      </w:r>
      <w:r w:rsidR="00B66A56" w:rsidRPr="000B39F3">
        <w:t>outcomes)</w:t>
      </w:r>
      <w:r w:rsidR="00A11C67" w:rsidRPr="000B39F3">
        <w:t xml:space="preserve">. </w:t>
      </w:r>
    </w:p>
    <w:p w14:paraId="6849DC28" w14:textId="4ED4AC51" w:rsidR="003A51C7" w:rsidRPr="000B39F3" w:rsidRDefault="003A51C7" w:rsidP="00C67199">
      <w:pPr>
        <w:jc w:val="both"/>
      </w:pPr>
      <w:r w:rsidRPr="000B39F3">
        <w:t xml:space="preserve">Our sample </w:t>
      </w:r>
      <w:r w:rsidR="00DE0404" w:rsidRPr="000B39F3">
        <w:t xml:space="preserve">is defined by all </w:t>
      </w:r>
      <w:r w:rsidR="00EC59BA" w:rsidRPr="000B39F3">
        <w:t>cases decided as of</w:t>
      </w:r>
      <w:r w:rsidR="00D1005F" w:rsidRPr="000B39F3">
        <w:t xml:space="preserve"> February 2014 </w:t>
      </w:r>
      <w:r w:rsidR="00FD77A9" w:rsidRPr="000B39F3">
        <w:t>that are the result</w:t>
      </w:r>
      <w:r w:rsidR="00BB7481" w:rsidRPr="000B39F3">
        <w:t xml:space="preserve"> of</w:t>
      </w:r>
      <w:r w:rsidRPr="000B39F3">
        <w:t xml:space="preserve"> preliminary reference</w:t>
      </w:r>
      <w:r w:rsidR="00BB7481" w:rsidRPr="000B39F3">
        <w:t>s</w:t>
      </w:r>
      <w:r w:rsidR="00EF4A18" w:rsidRPr="000B39F3">
        <w:t xml:space="preserve"> </w:t>
      </w:r>
      <w:r w:rsidR="00FD77A9" w:rsidRPr="000B39F3">
        <w:t>to</w:t>
      </w:r>
      <w:r w:rsidRPr="000B39F3">
        <w:t xml:space="preserve"> the Court </w:t>
      </w:r>
      <w:r w:rsidR="00DE0404" w:rsidRPr="000B39F3">
        <w:t xml:space="preserve">which </w:t>
      </w:r>
      <w:r w:rsidRPr="000B39F3">
        <w:t xml:space="preserve">refer in the Application and in the Ground of </w:t>
      </w:r>
      <w:r w:rsidR="00EF4A18" w:rsidRPr="000B39F3">
        <w:t>Judgment</w:t>
      </w:r>
      <w:r w:rsidRPr="000B39F3">
        <w:t xml:space="preserve"> to one of the directive</w:t>
      </w:r>
      <w:r w:rsidR="0010552E" w:rsidRPr="000B39F3">
        <w:t>s of</w:t>
      </w:r>
      <w:r w:rsidRPr="000B39F3">
        <w:t xml:space="preserve"> the </w:t>
      </w:r>
      <w:proofErr w:type="spellStart"/>
      <w:r w:rsidRPr="000B39F3">
        <w:rPr>
          <w:i/>
        </w:rPr>
        <w:t>acquis</w:t>
      </w:r>
      <w:proofErr w:type="spellEnd"/>
      <w:r w:rsidR="00EF4A18" w:rsidRPr="000B39F3">
        <w:rPr>
          <w:i/>
        </w:rPr>
        <w:t xml:space="preserve"> </w:t>
      </w:r>
      <w:proofErr w:type="spellStart"/>
      <w:r w:rsidRPr="000B39F3">
        <w:rPr>
          <w:i/>
        </w:rPr>
        <w:t>communautaire</w:t>
      </w:r>
      <w:proofErr w:type="spellEnd"/>
      <w:r w:rsidRPr="000B39F3">
        <w:t xml:space="preserve"> on the </w:t>
      </w:r>
      <w:r w:rsidR="00BB7481" w:rsidRPr="000B39F3">
        <w:t>subject-</w:t>
      </w:r>
      <w:r w:rsidRPr="000B39F3">
        <w:t>matter of copyright and related rights</w:t>
      </w:r>
      <w:r w:rsidR="00873415" w:rsidRPr="000B39F3">
        <w:t>,</w:t>
      </w:r>
      <w:r w:rsidR="00D1005F" w:rsidRPr="000B39F3">
        <w:t xml:space="preserve"> or the database right</w:t>
      </w:r>
      <w:r w:rsidRPr="000B39F3">
        <w:t xml:space="preserve">. </w:t>
      </w:r>
      <w:r w:rsidR="00C47760" w:rsidRPr="000B39F3">
        <w:rPr>
          <w:rFonts w:cs="Segoe UI"/>
          <w:shd w:val="clear" w:color="auto" w:fill="FFFFFF"/>
        </w:rPr>
        <w:t>The focus is solely on preliminary</w:t>
      </w:r>
      <w:r w:rsidR="00D41AA1" w:rsidRPr="000B39F3">
        <w:rPr>
          <w:rFonts w:cs="Segoe UI"/>
          <w:shd w:val="clear" w:color="auto" w:fill="FFFFFF"/>
        </w:rPr>
        <w:t xml:space="preserve"> references</w:t>
      </w:r>
      <w:r w:rsidR="00D41AA1" w:rsidRPr="000B39F3">
        <w:rPr>
          <w:rStyle w:val="FootnoteReference"/>
          <w:rFonts w:cs="Segoe UI"/>
          <w:sz w:val="20"/>
          <w:szCs w:val="20"/>
          <w:shd w:val="clear" w:color="auto" w:fill="FFFFFF"/>
        </w:rPr>
        <w:footnoteReference w:id="39"/>
      </w:r>
      <w:r w:rsidR="00D1005F" w:rsidRPr="000B39F3">
        <w:rPr>
          <w:rFonts w:cs="Segoe UI"/>
          <w:shd w:val="clear" w:color="auto" w:fill="FFFFFF"/>
        </w:rPr>
        <w:t xml:space="preserve">, and the time frame ranges from the first copyright case of </w:t>
      </w:r>
      <w:r w:rsidR="00D1005F" w:rsidRPr="000B39F3">
        <w:rPr>
          <w:rFonts w:cs="Segoe UI"/>
          <w:i/>
          <w:shd w:val="clear" w:color="auto" w:fill="FFFFFF"/>
        </w:rPr>
        <w:t>Phil Collins</w:t>
      </w:r>
      <w:r w:rsidR="00D1005F" w:rsidRPr="000B39F3">
        <w:rPr>
          <w:rFonts w:cs="Segoe UI"/>
          <w:shd w:val="clear" w:color="auto" w:fill="FFFFFF"/>
        </w:rPr>
        <w:t xml:space="preserve"> (reg</w:t>
      </w:r>
      <w:r w:rsidR="0068739E" w:rsidRPr="000B39F3">
        <w:rPr>
          <w:rFonts w:cs="Segoe UI"/>
          <w:shd w:val="clear" w:color="auto" w:fill="FFFFFF"/>
        </w:rPr>
        <w:t>istered in 1992 and delivered on 20 October</w:t>
      </w:r>
      <w:r w:rsidR="00D1005F" w:rsidRPr="000B39F3">
        <w:rPr>
          <w:rFonts w:cs="Segoe UI"/>
          <w:shd w:val="clear" w:color="auto" w:fill="FFFFFF"/>
        </w:rPr>
        <w:t xml:space="preserve"> 1993)</w:t>
      </w:r>
      <w:r w:rsidR="00EF4A18" w:rsidRPr="000B39F3">
        <w:rPr>
          <w:rFonts w:cs="Segoe UI"/>
          <w:shd w:val="clear" w:color="auto" w:fill="FFFFFF"/>
        </w:rPr>
        <w:t xml:space="preserve"> </w:t>
      </w:r>
      <w:r w:rsidR="00D1005F" w:rsidRPr="000B39F3">
        <w:rPr>
          <w:rFonts w:cs="Segoe UI"/>
          <w:shd w:val="clear" w:color="auto" w:fill="FFFFFF"/>
        </w:rPr>
        <w:t xml:space="preserve">to </w:t>
      </w:r>
      <w:proofErr w:type="spellStart"/>
      <w:r w:rsidR="00D1005F" w:rsidRPr="000B39F3">
        <w:rPr>
          <w:rFonts w:cs="Segoe UI"/>
          <w:i/>
          <w:shd w:val="clear" w:color="auto" w:fill="FFFFFF"/>
        </w:rPr>
        <w:t>Svensson</w:t>
      </w:r>
      <w:proofErr w:type="spellEnd"/>
      <w:r w:rsidR="00D1005F" w:rsidRPr="000B39F3">
        <w:rPr>
          <w:rFonts w:cs="Segoe UI"/>
          <w:shd w:val="clear" w:color="auto" w:fill="FFFFFF"/>
        </w:rPr>
        <w:t xml:space="preserve"> (registered in 2012 and delivered on 13 February 2014). </w:t>
      </w:r>
      <w:r w:rsidR="00DE0404" w:rsidRPr="000B39F3">
        <w:t>These</w:t>
      </w:r>
      <w:r w:rsidR="00910CCE" w:rsidRPr="000B39F3">
        <w:t xml:space="preserve"> criteria render </w:t>
      </w:r>
      <w:r w:rsidR="001D112F" w:rsidRPr="000B39F3">
        <w:t>49</w:t>
      </w:r>
      <w:r w:rsidR="00D1005F" w:rsidRPr="000B39F3">
        <w:t xml:space="preserve"> cases</w:t>
      </w:r>
      <w:r w:rsidR="00DE0404" w:rsidRPr="000B39F3">
        <w:t>, of which</w:t>
      </w:r>
      <w:r w:rsidR="00EF4A18" w:rsidRPr="000B39F3">
        <w:t xml:space="preserve"> </w:t>
      </w:r>
      <w:r w:rsidR="00910CCE" w:rsidRPr="000B39F3">
        <w:t>4</w:t>
      </w:r>
      <w:r w:rsidR="001D112F" w:rsidRPr="000B39F3">
        <w:t>0</w:t>
      </w:r>
      <w:r w:rsidRPr="000B39F3">
        <w:t xml:space="preserve"> cases refer to copyright, related rights and software protection</w:t>
      </w:r>
      <w:r w:rsidRPr="000B39F3">
        <w:rPr>
          <w:rStyle w:val="FootnoteReference"/>
        </w:rPr>
        <w:t>,</w:t>
      </w:r>
      <w:bookmarkStart w:id="19" w:name="_Ref383616168"/>
      <w:r w:rsidRPr="000B39F3">
        <w:rPr>
          <w:rStyle w:val="FootnoteReference"/>
        </w:rPr>
        <w:footnoteReference w:id="40"/>
      </w:r>
      <w:bookmarkEnd w:id="19"/>
      <w:r w:rsidRPr="000B39F3">
        <w:t xml:space="preserve"> and </w:t>
      </w:r>
      <w:r w:rsidR="00EF4A18" w:rsidRPr="000B39F3">
        <w:t>9</w:t>
      </w:r>
      <w:r w:rsidRPr="000B39F3">
        <w:t xml:space="preserve"> cases relat</w:t>
      </w:r>
      <w:r w:rsidR="00964824" w:rsidRPr="000B39F3">
        <w:t>e</w:t>
      </w:r>
      <w:r w:rsidRPr="000B39F3">
        <w:t xml:space="preserve"> to </w:t>
      </w:r>
      <w:r w:rsidR="00084645" w:rsidRPr="000B39F3">
        <w:t>the database right</w:t>
      </w:r>
      <w:r w:rsidRPr="000B39F3">
        <w:t>.</w:t>
      </w:r>
      <w:r w:rsidR="00EC59BA" w:rsidRPr="000B39F3">
        <w:rPr>
          <w:rStyle w:val="FootnoteReference"/>
        </w:rPr>
        <w:footnoteReference w:id="41"/>
      </w:r>
      <w:r w:rsidRPr="000B39F3">
        <w:t xml:space="preserve"> The documents </w:t>
      </w:r>
      <w:r w:rsidR="0010552E" w:rsidRPr="000B39F3">
        <w:t>analys</w:t>
      </w:r>
      <w:r w:rsidR="00DE0404" w:rsidRPr="000B39F3">
        <w:t>ed</w:t>
      </w:r>
      <w:r w:rsidR="00EF4A18" w:rsidRPr="000B39F3">
        <w:t xml:space="preserve"> </w:t>
      </w:r>
      <w:r w:rsidR="00DE0404" w:rsidRPr="000B39F3">
        <w:t>consist of</w:t>
      </w:r>
      <w:r w:rsidRPr="000B39F3">
        <w:t xml:space="preserve"> </w:t>
      </w:r>
      <w:r w:rsidRPr="000B39F3">
        <w:lastRenderedPageBreak/>
        <w:t xml:space="preserve">the Opinions of the Advocate General (AG) and the Grounds for </w:t>
      </w:r>
      <w:r w:rsidR="00EF4A18" w:rsidRPr="000B39F3">
        <w:t>Judgment</w:t>
      </w:r>
      <w:r w:rsidRPr="000B39F3">
        <w:t xml:space="preserve"> </w:t>
      </w:r>
      <w:r w:rsidR="0010552E" w:rsidRPr="000B39F3">
        <w:t>(including the Operational Part</w:t>
      </w:r>
      <w:r w:rsidRPr="000B39F3">
        <w:t xml:space="preserve"> of the </w:t>
      </w:r>
      <w:r w:rsidR="00EF4A18" w:rsidRPr="000B39F3">
        <w:t>Judgment</w:t>
      </w:r>
      <w:r w:rsidRPr="000B39F3">
        <w:t>)</w:t>
      </w:r>
      <w:r w:rsidR="0010552E" w:rsidRPr="000B39F3">
        <w:t xml:space="preserve"> of each case</w:t>
      </w:r>
      <w:r w:rsidRPr="000B39F3">
        <w:t xml:space="preserve">. </w:t>
      </w:r>
    </w:p>
    <w:p w14:paraId="748FE82F" w14:textId="230651D5" w:rsidR="0098042B" w:rsidRPr="000B39F3" w:rsidRDefault="008F4C31" w:rsidP="00C67199">
      <w:pPr>
        <w:jc w:val="both"/>
      </w:pPr>
      <w:r w:rsidRPr="000B39F3">
        <w:t>Our</w:t>
      </w:r>
      <w:r w:rsidR="00A11C67" w:rsidRPr="000B39F3">
        <w:t xml:space="preserve"> </w:t>
      </w:r>
      <w:r w:rsidR="009B73EA" w:rsidRPr="000B39F3">
        <w:t>first</w:t>
      </w:r>
      <w:r w:rsidRPr="000B39F3">
        <w:t xml:space="preserve"> methodological approach</w:t>
      </w:r>
      <w:r w:rsidR="009B73EA" w:rsidRPr="000B39F3">
        <w:t xml:space="preserve"> </w:t>
      </w:r>
      <w:r w:rsidRPr="000B39F3">
        <w:t xml:space="preserve">investigates the workings of the Court by </w:t>
      </w:r>
      <w:r w:rsidR="00BB7481" w:rsidRPr="000B39F3">
        <w:t>track</w:t>
      </w:r>
      <w:r w:rsidRPr="000B39F3">
        <w:t>ing</w:t>
      </w:r>
      <w:r w:rsidR="00BB7481" w:rsidRPr="000B39F3">
        <w:t xml:space="preserve"> down</w:t>
      </w:r>
      <w:r w:rsidR="00A1576C" w:rsidRPr="000B39F3">
        <w:t xml:space="preserve"> the route of specialist </w:t>
      </w:r>
      <w:proofErr w:type="gramStart"/>
      <w:r w:rsidR="00A1576C" w:rsidRPr="000B39F3">
        <w:t>subject-matter</w:t>
      </w:r>
      <w:proofErr w:type="gramEnd"/>
      <w:r w:rsidR="00A1576C" w:rsidRPr="000B39F3">
        <w:t xml:space="preserve"> within the Court (</w:t>
      </w:r>
      <w:r w:rsidRPr="000B39F3">
        <w:t xml:space="preserve">descriptive statistics of </w:t>
      </w:r>
      <w:r w:rsidR="00A1576C" w:rsidRPr="000B39F3">
        <w:t>case as</w:t>
      </w:r>
      <w:r w:rsidR="00F43D7A" w:rsidRPr="000B39F3">
        <w:t>signment, chamber</w:t>
      </w:r>
      <w:r w:rsidRPr="000B39F3">
        <w:t>s</w:t>
      </w:r>
      <w:r w:rsidR="00F43D7A" w:rsidRPr="000B39F3">
        <w:t xml:space="preserve">, </w:t>
      </w:r>
      <w:r w:rsidRPr="000B39F3">
        <w:t xml:space="preserve">AGs and </w:t>
      </w:r>
      <w:r w:rsidR="00F43D7A" w:rsidRPr="000B39F3">
        <w:t>judges). S</w:t>
      </w:r>
      <w:r w:rsidR="00A1576C" w:rsidRPr="000B39F3">
        <w:t xml:space="preserve">ubsequently </w:t>
      </w:r>
      <w:r w:rsidR="00677673" w:rsidRPr="000B39F3">
        <w:t>the legal background of the m</w:t>
      </w:r>
      <w:r w:rsidR="009B73EA" w:rsidRPr="000B39F3">
        <w:t>embers of the European Court of Justice</w:t>
      </w:r>
      <w:r w:rsidR="00A1576C" w:rsidRPr="000B39F3">
        <w:t xml:space="preserve"> </w:t>
      </w:r>
      <w:r w:rsidR="00F43D7A" w:rsidRPr="000B39F3">
        <w:t xml:space="preserve">is mapped </w:t>
      </w:r>
      <w:r w:rsidR="00A1576C" w:rsidRPr="000B39F3">
        <w:t xml:space="preserve">in search of </w:t>
      </w:r>
      <w:r w:rsidR="00183936" w:rsidRPr="000B39F3">
        <w:t>relationships</w:t>
      </w:r>
      <w:r w:rsidR="00A1576C" w:rsidRPr="000B39F3">
        <w:t xml:space="preserve"> between subject-specific </w:t>
      </w:r>
      <w:r w:rsidR="00F43D7A" w:rsidRPr="000B39F3">
        <w:t>expertise</w:t>
      </w:r>
      <w:r w:rsidR="00A1576C" w:rsidRPr="000B39F3">
        <w:t xml:space="preserve"> and the assignment of cases.</w:t>
      </w:r>
      <w:r w:rsidR="00F43D7A" w:rsidRPr="000B39F3">
        <w:t xml:space="preserve"> </w:t>
      </w:r>
      <w:r w:rsidRPr="000B39F3">
        <w:t>The second method applies</w:t>
      </w:r>
      <w:r w:rsidR="00F43D7A" w:rsidRPr="000B39F3">
        <w:t xml:space="preserve"> systematic</w:t>
      </w:r>
      <w:r w:rsidR="009B73EA" w:rsidRPr="000B39F3">
        <w:t xml:space="preserve"> content analysis</w:t>
      </w:r>
      <w:r w:rsidR="00347CBA" w:rsidRPr="000B39F3">
        <w:rPr>
          <w:rStyle w:val="FootnoteReference"/>
          <w:bCs/>
        </w:rPr>
        <w:footnoteReference w:id="42"/>
      </w:r>
      <w:r w:rsidRPr="000B39F3">
        <w:t xml:space="preserve"> </w:t>
      </w:r>
      <w:r w:rsidR="009B73EA" w:rsidRPr="000B39F3">
        <w:t xml:space="preserve">to </w:t>
      </w:r>
      <w:r w:rsidRPr="000B39F3">
        <w:t>capture</w:t>
      </w:r>
      <w:r w:rsidR="009B73EA" w:rsidRPr="000B39F3">
        <w:t xml:space="preserve"> the recourse to certain legal </w:t>
      </w:r>
      <w:r w:rsidR="003A51C7" w:rsidRPr="000B39F3">
        <w:t xml:space="preserve">approaches in the </w:t>
      </w:r>
      <w:r w:rsidRPr="000B39F3">
        <w:t xml:space="preserve">text of the </w:t>
      </w:r>
      <w:r w:rsidR="003A51C7" w:rsidRPr="000B39F3">
        <w:t xml:space="preserve">sampled cases, which are coded in variables that </w:t>
      </w:r>
      <w:r w:rsidR="0098042B" w:rsidRPr="000B39F3">
        <w:t xml:space="preserve">can </w:t>
      </w:r>
      <w:r w:rsidR="003A51C7" w:rsidRPr="000B39F3">
        <w:t xml:space="preserve">in turn </w:t>
      </w:r>
      <w:r w:rsidR="00C919F1" w:rsidRPr="000B39F3">
        <w:t>be subjected to</w:t>
      </w:r>
      <w:r w:rsidR="003A51C7" w:rsidRPr="000B39F3">
        <w:t xml:space="preserve"> statistical computation</w:t>
      </w:r>
      <w:r w:rsidR="00F43D7A" w:rsidRPr="000B39F3">
        <w:t xml:space="preserve"> and </w:t>
      </w:r>
      <w:r w:rsidR="0010552E" w:rsidRPr="000B39F3">
        <w:t>analysis</w:t>
      </w:r>
      <w:r w:rsidR="003A51C7" w:rsidRPr="000B39F3">
        <w:t xml:space="preserve">. </w:t>
      </w:r>
      <w:r w:rsidR="0098042B" w:rsidRPr="000B39F3">
        <w:t xml:space="preserve">The dependent variable is represented by the outcome of the case (the impact on the rights of the copyright owner) and the explanatory variables are represented by the legal approaches implemented by the Court. Finally, the identified legal approaches are linked to individual court members and subject sub-areas (database, software), in order to identify possible causal relationships. The aim is not an assessment of the substantive law, but rather an identification of predominant legal interpretative approaches within the Court and their impact on the decision-making process. </w:t>
      </w:r>
    </w:p>
    <w:p w14:paraId="4FCB445D" w14:textId="1CC88B0F" w:rsidR="00596B64" w:rsidRPr="000B39F3" w:rsidRDefault="007533D3" w:rsidP="0025237B">
      <w:pPr>
        <w:jc w:val="both"/>
      </w:pPr>
      <w:r w:rsidRPr="000B39F3">
        <w:t>The</w:t>
      </w:r>
      <w:r w:rsidR="008F7B03" w:rsidRPr="000B39F3">
        <w:t xml:space="preserve"> coding required a technical understanding of both </w:t>
      </w:r>
      <w:r w:rsidR="0098042B" w:rsidRPr="000B39F3">
        <w:t>EU</w:t>
      </w:r>
      <w:r w:rsidR="008F7B03" w:rsidRPr="000B39F3">
        <w:t xml:space="preserve"> and copyri</w:t>
      </w:r>
      <w:r w:rsidR="00055E67" w:rsidRPr="000B39F3">
        <w:t>ght law, and was carried out by</w:t>
      </w:r>
      <w:r w:rsidR="008F7B03" w:rsidRPr="000B39F3">
        <w:t xml:space="preserve"> one of the authors, </w:t>
      </w:r>
      <w:r w:rsidR="00055E67" w:rsidRPr="000B39F3">
        <w:t>not a research assistant. Pilot</w:t>
      </w:r>
      <w:r w:rsidR="00F43D7A" w:rsidRPr="000B39F3">
        <w:t xml:space="preserve"> </w:t>
      </w:r>
      <w:proofErr w:type="spellStart"/>
      <w:r w:rsidR="008F7B03" w:rsidRPr="000B39F3">
        <w:t>codings</w:t>
      </w:r>
      <w:proofErr w:type="spellEnd"/>
      <w:r w:rsidR="008F7B03" w:rsidRPr="000B39F3">
        <w:t xml:space="preserve"> were jointly reviewed, and</w:t>
      </w:r>
      <w:r w:rsidRPr="000B39F3">
        <w:t xml:space="preserve"> problema</w:t>
      </w:r>
      <w:r w:rsidR="00055E67" w:rsidRPr="000B39F3">
        <w:t xml:space="preserve">tic instances </w:t>
      </w:r>
      <w:r w:rsidRPr="000B39F3">
        <w:t>were discussed</w:t>
      </w:r>
      <w:r w:rsidR="008F7B03" w:rsidRPr="000B39F3">
        <w:t xml:space="preserve"> throughout the process</w:t>
      </w:r>
      <w:r w:rsidRPr="000B39F3">
        <w:t xml:space="preserve"> between the a</w:t>
      </w:r>
      <w:r w:rsidR="00084645" w:rsidRPr="000B39F3">
        <w:t>uthors</w:t>
      </w:r>
      <w:r w:rsidR="008E1784" w:rsidRPr="000B39F3">
        <w:t xml:space="preserve"> to increase reliability</w:t>
      </w:r>
      <w:r w:rsidRPr="000B39F3">
        <w:t>.</w:t>
      </w:r>
      <w:r w:rsidR="00BD646B" w:rsidRPr="000B39F3">
        <w:rPr>
          <w:rStyle w:val="FootnoteReference"/>
        </w:rPr>
        <w:footnoteReference w:id="43"/>
      </w:r>
      <w:r w:rsidRPr="000B39F3">
        <w:t xml:space="preserve"> </w:t>
      </w:r>
    </w:p>
    <w:p w14:paraId="440A9633" w14:textId="77777777" w:rsidR="002F1DAE" w:rsidRPr="000B39F3" w:rsidRDefault="002F1DAE" w:rsidP="001E1BFF">
      <w:pPr>
        <w:jc w:val="both"/>
        <w:outlineLvl w:val="0"/>
        <w:rPr>
          <w:u w:val="single"/>
        </w:rPr>
      </w:pPr>
    </w:p>
    <w:p w14:paraId="538839AD" w14:textId="77777777" w:rsidR="00652EC0" w:rsidRDefault="00652EC0">
      <w:pPr>
        <w:spacing w:line="276" w:lineRule="auto"/>
        <w:rPr>
          <w:b/>
        </w:rPr>
      </w:pPr>
      <w:r>
        <w:rPr>
          <w:b/>
        </w:rPr>
        <w:br w:type="page"/>
      </w:r>
    </w:p>
    <w:p w14:paraId="2735FC47" w14:textId="6250DF02" w:rsidR="00054F2A" w:rsidRPr="000B39F3" w:rsidRDefault="00054F2A" w:rsidP="008D2BA1">
      <w:pPr>
        <w:jc w:val="center"/>
        <w:outlineLvl w:val="0"/>
        <w:rPr>
          <w:b/>
        </w:rPr>
      </w:pPr>
      <w:r w:rsidRPr="000B39F3">
        <w:rPr>
          <w:b/>
        </w:rPr>
        <w:lastRenderedPageBreak/>
        <w:t>EMPIR</w:t>
      </w:r>
      <w:r w:rsidR="008D2BA1" w:rsidRPr="000B39F3">
        <w:rPr>
          <w:b/>
        </w:rPr>
        <w:t>IC</w:t>
      </w:r>
      <w:r w:rsidRPr="000B39F3">
        <w:rPr>
          <w:b/>
        </w:rPr>
        <w:t>AL STUDY I</w:t>
      </w:r>
      <w:r w:rsidR="008D2BA1" w:rsidRPr="000B39F3">
        <w:rPr>
          <w:b/>
        </w:rPr>
        <w:t>: THE COURT AT WORK (PROCESSES AND BIOGRAPHIES)</w:t>
      </w:r>
    </w:p>
    <w:p w14:paraId="65310A60" w14:textId="77777777" w:rsidR="001A1C63" w:rsidRPr="000B39F3" w:rsidRDefault="00022B1E" w:rsidP="001E1BFF">
      <w:pPr>
        <w:jc w:val="both"/>
        <w:outlineLvl w:val="0"/>
        <w:rPr>
          <w:u w:val="single"/>
        </w:rPr>
      </w:pPr>
      <w:r w:rsidRPr="000B39F3">
        <w:rPr>
          <w:u w:val="single"/>
        </w:rPr>
        <w:t>Assignment of Copyright cases</w:t>
      </w:r>
    </w:p>
    <w:p w14:paraId="2567FBA3" w14:textId="7338D577" w:rsidR="00212BD0" w:rsidRPr="000B39F3" w:rsidRDefault="000D6B2C" w:rsidP="00C67199">
      <w:pPr>
        <w:jc w:val="both"/>
      </w:pPr>
      <w:r w:rsidRPr="000B39F3">
        <w:t>T</w:t>
      </w:r>
      <w:r w:rsidR="008E7A9E" w:rsidRPr="000B39F3">
        <w:t xml:space="preserve">he </w:t>
      </w:r>
      <w:r w:rsidR="00C6707D" w:rsidRPr="000B39F3">
        <w:t xml:space="preserve">sample </w:t>
      </w:r>
      <w:r w:rsidR="00D256FF" w:rsidRPr="000B39F3">
        <w:t>analysed by</w:t>
      </w:r>
      <w:r w:rsidR="00C6707D" w:rsidRPr="000B39F3">
        <w:t xml:space="preserve"> our study include</w:t>
      </w:r>
      <w:r w:rsidR="00D256FF" w:rsidRPr="000B39F3">
        <w:t>s</w:t>
      </w:r>
      <w:r w:rsidR="00C6707D" w:rsidRPr="000B39F3">
        <w:t xml:space="preserve"> all </w:t>
      </w:r>
      <w:r w:rsidR="00D256FF" w:rsidRPr="000B39F3">
        <w:t xml:space="preserve">closed cases </w:t>
      </w:r>
      <w:r w:rsidR="00C919F1" w:rsidRPr="000B39F3">
        <w:t xml:space="preserve">up to </w:t>
      </w:r>
      <w:proofErr w:type="spellStart"/>
      <w:r w:rsidR="00C919F1" w:rsidRPr="000B39F3">
        <w:rPr>
          <w:i/>
        </w:rPr>
        <w:t>Svensson</w:t>
      </w:r>
      <w:proofErr w:type="spellEnd"/>
      <w:r w:rsidR="00C919F1" w:rsidRPr="000B39F3">
        <w:t xml:space="preserve"> (February 2014) </w:t>
      </w:r>
      <w:r w:rsidR="00D256FF" w:rsidRPr="000B39F3">
        <w:t xml:space="preserve">referring to one of the directives forming the </w:t>
      </w:r>
      <w:proofErr w:type="spellStart"/>
      <w:r w:rsidR="00D256FF" w:rsidRPr="000B39F3">
        <w:rPr>
          <w:i/>
        </w:rPr>
        <w:t>a</w:t>
      </w:r>
      <w:r w:rsidR="00C919F1" w:rsidRPr="000B39F3">
        <w:rPr>
          <w:i/>
        </w:rPr>
        <w:t>c</w:t>
      </w:r>
      <w:r w:rsidR="00D256FF" w:rsidRPr="000B39F3">
        <w:rPr>
          <w:i/>
        </w:rPr>
        <w:t>quis</w:t>
      </w:r>
      <w:proofErr w:type="spellEnd"/>
      <w:r w:rsidR="00C919F1" w:rsidRPr="000B39F3">
        <w:rPr>
          <w:i/>
        </w:rPr>
        <w:t xml:space="preserve"> </w:t>
      </w:r>
      <w:proofErr w:type="spellStart"/>
      <w:r w:rsidR="00D256FF" w:rsidRPr="000B39F3">
        <w:rPr>
          <w:i/>
        </w:rPr>
        <w:t>comm</w:t>
      </w:r>
      <w:r w:rsidR="0098042B" w:rsidRPr="000B39F3">
        <w:rPr>
          <w:i/>
        </w:rPr>
        <w:t>un</w:t>
      </w:r>
      <w:r w:rsidR="00D256FF" w:rsidRPr="000B39F3">
        <w:rPr>
          <w:i/>
        </w:rPr>
        <w:t>autaire</w:t>
      </w:r>
      <w:proofErr w:type="spellEnd"/>
      <w:r w:rsidR="00D256FF" w:rsidRPr="000B39F3">
        <w:t xml:space="preserve"> relating to copyright</w:t>
      </w:r>
      <w:r w:rsidR="00C919F1" w:rsidRPr="000B39F3">
        <w:t>.</w:t>
      </w:r>
      <w:r w:rsidR="00D256FF" w:rsidRPr="000B39F3">
        <w:rPr>
          <w:rStyle w:val="FootnoteReference"/>
        </w:rPr>
        <w:footnoteReference w:id="44"/>
      </w:r>
      <w:r w:rsidR="0098042B" w:rsidRPr="000B39F3">
        <w:t xml:space="preserve"> </w:t>
      </w:r>
      <w:r w:rsidRPr="000B39F3">
        <w:t xml:space="preserve">Since </w:t>
      </w:r>
      <w:r w:rsidR="005A4A5E" w:rsidRPr="000B39F3">
        <w:t xml:space="preserve">the ECJ does not have specialised sections, </w:t>
      </w:r>
      <w:r w:rsidRPr="000B39F3">
        <w:t xml:space="preserve">in </w:t>
      </w:r>
      <w:r w:rsidR="005A4A5E" w:rsidRPr="000B39F3">
        <w:t>practice the President of the Court, after the preliminary report of the Reporting Judge, allocates the ca</w:t>
      </w:r>
      <w:r w:rsidR="00C919F1" w:rsidRPr="000B39F3">
        <w:t>se to a chamber. The criteria for</w:t>
      </w:r>
      <w:r w:rsidR="005A4A5E" w:rsidRPr="000B39F3">
        <w:t xml:space="preserve"> this assignment are unclear, as they are not provided by the rules of procedure of the Court.</w:t>
      </w:r>
      <w:r w:rsidR="005A4A5E" w:rsidRPr="000B39F3">
        <w:rPr>
          <w:rStyle w:val="FootnoteReference"/>
        </w:rPr>
        <w:footnoteReference w:id="45"/>
      </w:r>
    </w:p>
    <w:p w14:paraId="63C7254B" w14:textId="3E01E7D7" w:rsidR="00CC05B8" w:rsidRPr="000B39F3" w:rsidRDefault="00D256FF" w:rsidP="00C47571">
      <w:pPr>
        <w:jc w:val="both"/>
      </w:pPr>
      <w:r w:rsidRPr="000B39F3">
        <w:t>Before the year 1998</w:t>
      </w:r>
      <w:r w:rsidR="00BC1194" w:rsidRPr="000B39F3">
        <w:rPr>
          <w:rStyle w:val="FootnoteReference"/>
        </w:rPr>
        <w:footnoteReference w:id="46"/>
      </w:r>
      <w:r w:rsidR="00C919F1" w:rsidRPr="000B39F3">
        <w:t xml:space="preserve"> </w:t>
      </w:r>
      <w:r w:rsidRPr="000B39F3">
        <w:t xml:space="preserve">preliminary rulings were not assigned to chambers. </w:t>
      </w:r>
      <w:r w:rsidR="00BA67C5" w:rsidRPr="000B39F3">
        <w:t>Thereafter, t</w:t>
      </w:r>
      <w:r w:rsidR="00A47120" w:rsidRPr="000B39F3">
        <w:t xml:space="preserve">he data </w:t>
      </w:r>
      <w:r w:rsidR="008F4C31" w:rsidRPr="000B39F3">
        <w:t>reveals a</w:t>
      </w:r>
      <w:r w:rsidRPr="000B39F3">
        <w:t xml:space="preserve"> predo</w:t>
      </w:r>
      <w:r w:rsidR="00BA67C5" w:rsidRPr="000B39F3">
        <w:t>minance of the Third Chamber</w:t>
      </w:r>
      <w:r w:rsidRPr="000B39F3">
        <w:t xml:space="preserve"> of the Court, </w:t>
      </w:r>
      <w:r w:rsidR="00DA5862" w:rsidRPr="000B39F3">
        <w:t>followed by</w:t>
      </w:r>
      <w:r w:rsidRPr="000B39F3">
        <w:t xml:space="preserve"> case</w:t>
      </w:r>
      <w:r w:rsidR="00DA5862" w:rsidRPr="000B39F3">
        <w:t>s</w:t>
      </w:r>
      <w:r w:rsidRPr="000B39F3">
        <w:t xml:space="preserve"> assigned </w:t>
      </w:r>
      <w:r w:rsidR="001658A1" w:rsidRPr="000B39F3">
        <w:t xml:space="preserve">to the </w:t>
      </w:r>
      <w:r w:rsidR="00BA67C5" w:rsidRPr="000B39F3">
        <w:t xml:space="preserve">Fourth and </w:t>
      </w:r>
      <w:r w:rsidR="001658A1" w:rsidRPr="000B39F3">
        <w:t>Grand C</w:t>
      </w:r>
      <w:r w:rsidR="00DA5862" w:rsidRPr="000B39F3">
        <w:t>hamber</w:t>
      </w:r>
      <w:r w:rsidRPr="000B39F3">
        <w:t>.</w:t>
      </w:r>
      <w:r w:rsidR="00BA67C5" w:rsidRPr="000B39F3">
        <w:t xml:space="preserve"> Controlling for the number of cases in total to each Cham</w:t>
      </w:r>
      <w:r w:rsidR="00C47571" w:rsidRPr="000B39F3">
        <w:t>ber, the picture remains stable.</w:t>
      </w:r>
    </w:p>
    <w:p w14:paraId="533A0668" w14:textId="3DA1E2C3" w:rsidR="00BF5FDF" w:rsidRPr="000B39F3" w:rsidRDefault="00BF5FDF" w:rsidP="00BF5FDF">
      <w:pPr>
        <w:keepNext/>
        <w:jc w:val="center"/>
      </w:pPr>
      <w:r w:rsidRPr="000B39F3">
        <w:rPr>
          <w:noProof/>
          <w:lang w:val="en-US" w:eastAsia="en-US"/>
        </w:rPr>
        <w:drawing>
          <wp:inline distT="0" distB="0" distL="0" distR="0" wp14:anchorId="3101A1F5" wp14:editId="0CEAA722">
            <wp:extent cx="4729268" cy="3546951"/>
            <wp:effectExtent l="25400" t="25400" r="20955" b="349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0451" cy="3547838"/>
                    </a:xfrm>
                    <a:prstGeom prst="rect">
                      <a:avLst/>
                    </a:prstGeom>
                    <a:noFill/>
                    <a:ln>
                      <a:solidFill>
                        <a:schemeClr val="tx1"/>
                      </a:solidFill>
                    </a:ln>
                  </pic:spPr>
                </pic:pic>
              </a:graphicData>
            </a:graphic>
          </wp:inline>
        </w:drawing>
      </w:r>
    </w:p>
    <w:p w14:paraId="7414A3FC" w14:textId="2C1F08D0" w:rsidR="00BF5FDF" w:rsidRPr="000B39F3" w:rsidRDefault="007A78CD" w:rsidP="00271960">
      <w:pPr>
        <w:pStyle w:val="Caption"/>
        <w:jc w:val="center"/>
      </w:pPr>
      <w:r w:rsidRPr="000B39F3">
        <w:t xml:space="preserve">Figure </w:t>
      </w:r>
      <w:r w:rsidR="00950E3F" w:rsidRPr="000B39F3">
        <w:t>1</w:t>
      </w:r>
      <w:r w:rsidR="00BF5FDF" w:rsidRPr="000B39F3">
        <w:t xml:space="preserve"> </w:t>
      </w:r>
      <w:r w:rsidR="00851BF9" w:rsidRPr="000B39F3">
        <w:t>–</w:t>
      </w:r>
      <w:r w:rsidR="00BF5FDF" w:rsidRPr="000B39F3">
        <w:t xml:space="preserve"> </w:t>
      </w:r>
      <w:r w:rsidR="00851BF9" w:rsidRPr="000B39F3">
        <w:t xml:space="preserve">Portion of copyright </w:t>
      </w:r>
      <w:r w:rsidR="00114E90" w:rsidRPr="000B39F3">
        <w:t>cases assigned to each C</w:t>
      </w:r>
      <w:r w:rsidR="00D114C6" w:rsidRPr="000B39F3">
        <w:t>hamber (post</w:t>
      </w:r>
      <w:r w:rsidR="00CC05B8" w:rsidRPr="000B39F3">
        <w:t>-1998)</w:t>
      </w:r>
    </w:p>
    <w:p w14:paraId="00CD4FD0" w14:textId="56E40371" w:rsidR="00596B64" w:rsidRPr="000B39F3" w:rsidRDefault="00596B64" w:rsidP="00271960">
      <w:pPr>
        <w:pStyle w:val="Caption"/>
        <w:jc w:val="center"/>
      </w:pPr>
      <w:r w:rsidRPr="000B39F3">
        <w:br w:type="page"/>
      </w:r>
    </w:p>
    <w:p w14:paraId="5F7B8BAB" w14:textId="2CE31105" w:rsidR="001A1C63" w:rsidRPr="000B39F3" w:rsidRDefault="005A4A5E" w:rsidP="00C67199">
      <w:pPr>
        <w:jc w:val="both"/>
      </w:pPr>
      <w:r w:rsidRPr="000B39F3">
        <w:lastRenderedPageBreak/>
        <w:t>When these figures are broken down by year of registration</w:t>
      </w:r>
      <w:r w:rsidR="00DA5862" w:rsidRPr="000B39F3">
        <w:t>,</w:t>
      </w:r>
      <w:r w:rsidRPr="000B39F3">
        <w:t xml:space="preserve"> the </w:t>
      </w:r>
      <w:r w:rsidR="00894C8F" w:rsidRPr="000B39F3">
        <w:t>data</w:t>
      </w:r>
      <w:r w:rsidR="00B74BB2" w:rsidRPr="000B39F3">
        <w:t xml:space="preserve"> </w:t>
      </w:r>
      <w:r w:rsidR="00DA5862" w:rsidRPr="000B39F3">
        <w:t xml:space="preserve">show a </w:t>
      </w:r>
      <w:r w:rsidR="007A4DE6" w:rsidRPr="000B39F3">
        <w:t xml:space="preserve">steady </w:t>
      </w:r>
      <w:r w:rsidR="00342BE7" w:rsidRPr="000B39F3">
        <w:t>raise of</w:t>
      </w:r>
      <w:r w:rsidR="007A4DE6" w:rsidRPr="000B39F3">
        <w:t xml:space="preserve"> assignments to</w:t>
      </w:r>
      <w:r w:rsidR="00342BE7" w:rsidRPr="000B39F3">
        <w:t xml:space="preserve"> the T</w:t>
      </w:r>
      <w:r w:rsidR="00DA5862" w:rsidRPr="000B39F3">
        <w:t>hird</w:t>
      </w:r>
      <w:r w:rsidR="007A4DE6" w:rsidRPr="000B39F3">
        <w:t xml:space="preserve"> Chamber, with the</w:t>
      </w:r>
      <w:r w:rsidR="00342BE7" w:rsidRPr="000B39F3">
        <w:t xml:space="preserve"> F</w:t>
      </w:r>
      <w:r w:rsidR="007A4DE6" w:rsidRPr="000B39F3">
        <w:t>o</w:t>
      </w:r>
      <w:r w:rsidR="00EB3685" w:rsidRPr="000B39F3">
        <w:t>urth Chamber taking over in 2011</w:t>
      </w:r>
      <w:r w:rsidR="007A4DE6" w:rsidRPr="000B39F3">
        <w:t>.</w:t>
      </w:r>
    </w:p>
    <w:p w14:paraId="2202C49D" w14:textId="7EBF5C9B" w:rsidR="00082292" w:rsidRPr="000B39F3" w:rsidRDefault="0006375F" w:rsidP="0006375F">
      <w:pPr>
        <w:jc w:val="center"/>
      </w:pPr>
      <w:r w:rsidRPr="000B39F3">
        <w:rPr>
          <w:noProof/>
          <w:lang w:val="en-US" w:eastAsia="en-US"/>
        </w:rPr>
        <w:drawing>
          <wp:inline distT="0" distB="0" distL="0" distR="0" wp14:anchorId="6D6F6668" wp14:editId="009B534F">
            <wp:extent cx="4373668" cy="3280251"/>
            <wp:effectExtent l="25400" t="25400" r="20955" b="222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4551" cy="3280913"/>
                    </a:xfrm>
                    <a:prstGeom prst="rect">
                      <a:avLst/>
                    </a:prstGeom>
                    <a:noFill/>
                    <a:ln>
                      <a:solidFill>
                        <a:schemeClr val="tx1"/>
                      </a:solidFill>
                    </a:ln>
                  </pic:spPr>
                </pic:pic>
              </a:graphicData>
            </a:graphic>
          </wp:inline>
        </w:drawing>
      </w:r>
    </w:p>
    <w:p w14:paraId="5F3D73C1" w14:textId="1E0290FD" w:rsidR="00082292" w:rsidRPr="000B39F3" w:rsidRDefault="0006375F" w:rsidP="00082292">
      <w:pPr>
        <w:pStyle w:val="Caption"/>
        <w:jc w:val="center"/>
      </w:pPr>
      <w:r w:rsidRPr="000B39F3">
        <w:t>Figure</w:t>
      </w:r>
      <w:r w:rsidR="00082292" w:rsidRPr="000B39F3">
        <w:t xml:space="preserve"> </w:t>
      </w:r>
      <w:r w:rsidR="007A5F6E">
        <w:fldChar w:fldCharType="begin"/>
      </w:r>
      <w:r w:rsidR="007A5F6E">
        <w:instrText xml:space="preserve"> SEQ Table \* ARABIC </w:instrText>
      </w:r>
      <w:r w:rsidR="007A5F6E">
        <w:fldChar w:fldCharType="separate"/>
      </w:r>
      <w:r w:rsidR="00B201F7">
        <w:rPr>
          <w:noProof/>
        </w:rPr>
        <w:t>1</w:t>
      </w:r>
      <w:r w:rsidR="007A5F6E">
        <w:rPr>
          <w:noProof/>
        </w:rPr>
        <w:fldChar w:fldCharType="end"/>
      </w:r>
      <w:r w:rsidR="00082292" w:rsidRPr="000B39F3">
        <w:t xml:space="preserve"> – Assignment of copyright</w:t>
      </w:r>
      <w:r w:rsidR="00D3528C">
        <w:t xml:space="preserve"> cases</w:t>
      </w:r>
      <w:r w:rsidR="00082292" w:rsidRPr="000B39F3">
        <w:t xml:space="preserve"> to Chamber by year</w:t>
      </w:r>
    </w:p>
    <w:p w14:paraId="5263C3BB" w14:textId="77777777" w:rsidR="00AC2535" w:rsidRPr="000B39F3" w:rsidRDefault="00AC2535" w:rsidP="00C67199">
      <w:pPr>
        <w:jc w:val="both"/>
      </w:pPr>
    </w:p>
    <w:p w14:paraId="5858CDD9" w14:textId="77777777" w:rsidR="00AC2535" w:rsidRPr="000B39F3" w:rsidRDefault="00AC2535" w:rsidP="00651EB7">
      <w:pPr>
        <w:rPr>
          <w:lang w:eastAsia="en-US"/>
        </w:rPr>
      </w:pPr>
      <w:r w:rsidRPr="000B39F3">
        <w:rPr>
          <w:lang w:eastAsia="en-US"/>
        </w:rPr>
        <w:t xml:space="preserve">We applied a chi-square test </w:t>
      </w:r>
      <w:r w:rsidR="00651EB7" w:rsidRPr="000B39F3">
        <w:rPr>
          <w:lang w:eastAsia="en-US"/>
        </w:rPr>
        <w:t>to</w:t>
      </w:r>
      <w:r w:rsidRPr="000B39F3">
        <w:rPr>
          <w:lang w:eastAsia="en-US"/>
        </w:rPr>
        <w:t xml:space="preserve"> this data to establish if it was statistically possible that the assignment of cases was random. The test resulted</w:t>
      </w:r>
      <w:r w:rsidR="00651EB7" w:rsidRPr="000B39F3">
        <w:rPr>
          <w:lang w:eastAsia="en-US"/>
        </w:rPr>
        <w:t xml:space="preserve"> in a p</w:t>
      </w:r>
      <w:r w:rsidRPr="000B39F3">
        <w:rPr>
          <w:lang w:eastAsia="en-US"/>
        </w:rPr>
        <w:t xml:space="preserve">-value of 0.13702, meaning that there is an approximately 1.37% chance that the </w:t>
      </w:r>
      <w:r w:rsidR="00651EB7" w:rsidRPr="000B39F3">
        <w:rPr>
          <w:lang w:eastAsia="en-US"/>
        </w:rPr>
        <w:t>patterns of assignment</w:t>
      </w:r>
      <w:r w:rsidRPr="000B39F3">
        <w:rPr>
          <w:lang w:eastAsia="en-US"/>
        </w:rPr>
        <w:t xml:space="preserve"> are </w:t>
      </w:r>
      <w:r w:rsidRPr="000B39F3">
        <w:rPr>
          <w:i/>
          <w:lang w:eastAsia="en-US"/>
        </w:rPr>
        <w:t>not</w:t>
      </w:r>
      <w:r w:rsidRPr="000B39F3">
        <w:rPr>
          <w:lang w:eastAsia="en-US"/>
        </w:rPr>
        <w:t xml:space="preserve"> the result of an external influence.</w:t>
      </w:r>
      <w:r w:rsidRPr="000B39F3">
        <w:rPr>
          <w:rStyle w:val="FootnoteReference"/>
          <w:lang w:eastAsia="en-US"/>
        </w:rPr>
        <w:footnoteReference w:id="47"/>
      </w:r>
    </w:p>
    <w:p w14:paraId="61DDF3C4" w14:textId="4D749E45" w:rsidR="001A15FE" w:rsidRPr="000B39F3" w:rsidRDefault="001A15FE" w:rsidP="00C67199">
      <w:pPr>
        <w:jc w:val="both"/>
      </w:pPr>
      <w:r w:rsidRPr="000B39F3">
        <w:t>The review of case allocation among chambers of the ECJ</w:t>
      </w:r>
      <w:r w:rsidR="00B74BB2" w:rsidRPr="000B39F3">
        <w:t xml:space="preserve"> prompted an investigation of</w:t>
      </w:r>
      <w:r w:rsidRPr="000B39F3">
        <w:t xml:space="preserve"> the </w:t>
      </w:r>
      <w:r w:rsidR="00342BE7" w:rsidRPr="000B39F3">
        <w:t>identity of the judges sitting o</w:t>
      </w:r>
      <w:r w:rsidRPr="000B39F3">
        <w:t xml:space="preserve">n the panels, in order to understand whether the choice of the chamber </w:t>
      </w:r>
      <w:r w:rsidR="007A4DE6" w:rsidRPr="000B39F3">
        <w:t>might</w:t>
      </w:r>
      <w:r w:rsidRPr="000B39F3">
        <w:t xml:space="preserve"> correspond to </w:t>
      </w:r>
      <w:r w:rsidR="001658A1" w:rsidRPr="000B39F3">
        <w:t>the</w:t>
      </w:r>
      <w:r w:rsidRPr="000B39F3">
        <w:t xml:space="preserve"> choi</w:t>
      </w:r>
      <w:r w:rsidR="00212BD0" w:rsidRPr="000B39F3">
        <w:t xml:space="preserve">ce of a judge. The </w:t>
      </w:r>
      <w:r w:rsidR="00894C8F" w:rsidRPr="000B39F3">
        <w:t>data</w:t>
      </w:r>
      <w:r w:rsidR="00212BD0" w:rsidRPr="000B39F3">
        <w:t xml:space="preserve"> show</w:t>
      </w:r>
      <w:r w:rsidR="00B74BB2" w:rsidRPr="000B39F3">
        <w:t xml:space="preserve"> </w:t>
      </w:r>
      <w:r w:rsidR="005A4A5E" w:rsidRPr="000B39F3">
        <w:t>nine</w:t>
      </w:r>
      <w:r w:rsidR="0071031C" w:rsidRPr="000B39F3">
        <w:t xml:space="preserve"> judges represent</w:t>
      </w:r>
      <w:r w:rsidR="00212BD0" w:rsidRPr="000B39F3">
        <w:t>ing</w:t>
      </w:r>
      <w:r w:rsidR="0071031C" w:rsidRPr="000B39F3">
        <w:t xml:space="preserve"> more than 80 per cent</w:t>
      </w:r>
      <w:r w:rsidR="00212BD0" w:rsidRPr="000B39F3">
        <w:t xml:space="preserve"> of the total presences in Court</w:t>
      </w:r>
      <w:r w:rsidR="00B74BB2" w:rsidRPr="000B39F3">
        <w:t xml:space="preserve"> when </w:t>
      </w:r>
      <w:r w:rsidR="00212BD0" w:rsidRPr="000B39F3">
        <w:t>ruling on</w:t>
      </w:r>
      <w:r w:rsidR="005A4A5E" w:rsidRPr="000B39F3">
        <w:t xml:space="preserve"> copyright c</w:t>
      </w:r>
      <w:r w:rsidR="00212BD0" w:rsidRPr="000B39F3">
        <w:t xml:space="preserve">ases. </w:t>
      </w:r>
      <w:r w:rsidRPr="000B39F3">
        <w:t>These</w:t>
      </w:r>
      <w:r w:rsidR="003B34AB" w:rsidRPr="000B39F3">
        <w:t xml:space="preserve"> judges are mostly part of the t</w:t>
      </w:r>
      <w:r w:rsidRPr="000B39F3">
        <w:t>hird and the fourth chambers of the ECJ.</w:t>
      </w:r>
      <w:r w:rsidR="00B74BB2" w:rsidRPr="000B39F3">
        <w:t xml:space="preserve"> </w:t>
      </w:r>
      <w:r w:rsidRPr="000B39F3">
        <w:t xml:space="preserve">This suggests that the chambers were chosen on the basis of the composition of the panel, presumably because of a particular expertise in the subject-specific area.  </w:t>
      </w:r>
    </w:p>
    <w:p w14:paraId="1ADDA2A9" w14:textId="06AF2EEC" w:rsidR="000D68E4" w:rsidRPr="000B39F3" w:rsidRDefault="00212BD0" w:rsidP="00C67199">
      <w:pPr>
        <w:jc w:val="both"/>
      </w:pPr>
      <w:proofErr w:type="gramStart"/>
      <w:r w:rsidRPr="000B39F3">
        <w:t>A substantial share</w:t>
      </w:r>
      <w:r w:rsidR="00B74BB2" w:rsidRPr="000B39F3">
        <w:t xml:space="preserve"> </w:t>
      </w:r>
      <w:r w:rsidRPr="000B39F3">
        <w:t xml:space="preserve">of </w:t>
      </w:r>
      <w:r w:rsidR="001A15FE" w:rsidRPr="000B39F3">
        <w:t>cases h</w:t>
      </w:r>
      <w:r w:rsidR="005A4A5E" w:rsidRPr="000B39F3">
        <w:t>owever</w:t>
      </w:r>
      <w:r w:rsidR="001A15FE" w:rsidRPr="000B39F3">
        <w:t xml:space="preserve"> were</w:t>
      </w:r>
      <w:proofErr w:type="gramEnd"/>
      <w:r w:rsidR="001A15FE" w:rsidRPr="000B39F3">
        <w:t xml:space="preserve"> referred to the</w:t>
      </w:r>
      <w:r w:rsidR="005A4A5E" w:rsidRPr="000B39F3">
        <w:t xml:space="preserve"> Grand Chamber</w:t>
      </w:r>
      <w:r w:rsidR="001A15FE" w:rsidRPr="000B39F3">
        <w:t>, which is called into action whenever a case is particularly complex</w:t>
      </w:r>
      <w:r w:rsidR="00136548" w:rsidRPr="000B39F3">
        <w:t xml:space="preserve"> and of potentially wider significance</w:t>
      </w:r>
      <w:r w:rsidR="001A15FE" w:rsidRPr="000B39F3">
        <w:t xml:space="preserve">. Our </w:t>
      </w:r>
      <w:r w:rsidR="008F4C31" w:rsidRPr="000B39F3">
        <w:t>analysis</w:t>
      </w:r>
      <w:r w:rsidR="001A15FE" w:rsidRPr="000B39F3">
        <w:t xml:space="preserve"> need</w:t>
      </w:r>
      <w:r w:rsidR="008F4C31" w:rsidRPr="000B39F3">
        <w:t>s</w:t>
      </w:r>
      <w:r w:rsidR="001A15FE" w:rsidRPr="000B39F3">
        <w:t xml:space="preserve"> to take into account the</w:t>
      </w:r>
      <w:r w:rsidR="00B74BB2" w:rsidRPr="000B39F3">
        <w:t xml:space="preserve"> </w:t>
      </w:r>
      <w:r w:rsidR="001A15FE" w:rsidRPr="000B39F3">
        <w:t>specific procedural rules according to which the Grand Chamber is formed</w:t>
      </w:r>
      <w:r w:rsidR="005A4A5E" w:rsidRPr="000B39F3">
        <w:t xml:space="preserve">. Panellists of Grand Chambers for example have to include the presidents of the other Chambers, irrespective of their background or experience. </w:t>
      </w:r>
      <w:r w:rsidR="00B74BB2" w:rsidRPr="000B39F3">
        <w:t>Accounting for</w:t>
      </w:r>
      <w:r w:rsidR="001A15FE" w:rsidRPr="000B39F3">
        <w:t xml:space="preserve"> the potential </w:t>
      </w:r>
      <w:r w:rsidR="005A4A5E" w:rsidRPr="000B39F3">
        <w:t xml:space="preserve">distorting effects produced by these </w:t>
      </w:r>
      <w:r w:rsidRPr="000B39F3">
        <w:t>procedural rules</w:t>
      </w:r>
      <w:r w:rsidR="001A15FE" w:rsidRPr="000B39F3">
        <w:t xml:space="preserve"> t</w:t>
      </w:r>
      <w:r w:rsidR="005A4A5E" w:rsidRPr="000B39F3">
        <w:t xml:space="preserve">he </w:t>
      </w:r>
      <w:r w:rsidRPr="000B39F3">
        <w:t>data</w:t>
      </w:r>
      <w:r w:rsidR="00136548" w:rsidRPr="000B39F3">
        <w:t xml:space="preserve"> </w:t>
      </w:r>
      <w:r w:rsidR="00B74BB2" w:rsidRPr="000B39F3">
        <w:t xml:space="preserve">still </w:t>
      </w:r>
      <w:r w:rsidR="00136548" w:rsidRPr="000B39F3">
        <w:t xml:space="preserve">appear to indicate a deliberate </w:t>
      </w:r>
      <w:r w:rsidR="005A4A5E" w:rsidRPr="000B39F3">
        <w:t>selection of judges in both Court formations (Grand Chamber or other Chamber</w:t>
      </w:r>
      <w:r w:rsidR="000D68E4" w:rsidRPr="000B39F3">
        <w:t>).</w:t>
      </w:r>
    </w:p>
    <w:p w14:paraId="43B5FBEB" w14:textId="067EBBF0" w:rsidR="001A1C63" w:rsidRPr="000B39F3" w:rsidRDefault="000D68E4" w:rsidP="00C67199">
      <w:pPr>
        <w:jc w:val="both"/>
      </w:pPr>
      <w:r w:rsidRPr="000B39F3">
        <w:t xml:space="preserve">Further, </w:t>
      </w:r>
      <w:r w:rsidR="005A4A5E" w:rsidRPr="000B39F3">
        <w:t xml:space="preserve">the </w:t>
      </w:r>
      <w:r w:rsidR="004F38DB" w:rsidRPr="000B39F3">
        <w:t>recurrence</w:t>
      </w:r>
      <w:r w:rsidRPr="000B39F3">
        <w:t xml:space="preserve"> of Reporting Judges</w:t>
      </w:r>
      <w:r w:rsidR="005A4A5E" w:rsidRPr="000B39F3">
        <w:t xml:space="preserve"> and of Advocate</w:t>
      </w:r>
      <w:r w:rsidR="00AF2A13" w:rsidRPr="000B39F3">
        <w:t xml:space="preserve">s General </w:t>
      </w:r>
      <w:r w:rsidR="00923364" w:rsidRPr="000B39F3">
        <w:t xml:space="preserve">(AGs) </w:t>
      </w:r>
      <w:r w:rsidR="005A4A5E" w:rsidRPr="000B39F3">
        <w:t xml:space="preserve">has also been calculated. </w:t>
      </w:r>
      <w:r w:rsidR="00C0332F" w:rsidRPr="000B39F3">
        <w:t>J</w:t>
      </w:r>
      <w:r w:rsidR="003B34AB" w:rsidRPr="000B39F3">
        <w:t>udge</w:t>
      </w:r>
      <w:r w:rsidR="00262E7D" w:rsidRPr="000B39F3">
        <w:t xml:space="preserve"> </w:t>
      </w:r>
      <w:r w:rsidR="00B63424" w:rsidRPr="000B39F3">
        <w:t xml:space="preserve">J. </w:t>
      </w:r>
      <w:proofErr w:type="spellStart"/>
      <w:r w:rsidR="005A4A5E" w:rsidRPr="000B39F3">
        <w:t>Malenovský</w:t>
      </w:r>
      <w:proofErr w:type="spellEnd"/>
      <w:r w:rsidR="005A4A5E" w:rsidRPr="000B39F3">
        <w:t xml:space="preserve"> registers an overwhelming majority of presences as Judge Rapporteur</w:t>
      </w:r>
      <w:r w:rsidR="001658A1" w:rsidRPr="000B39F3">
        <w:t xml:space="preserve"> in the cases </w:t>
      </w:r>
      <w:r w:rsidR="00F862C8" w:rsidRPr="000B39F3">
        <w:t>in</w:t>
      </w:r>
      <w:r w:rsidR="001658A1" w:rsidRPr="000B39F3">
        <w:t xml:space="preserve"> the sample</w:t>
      </w:r>
      <w:r w:rsidR="005A4A5E" w:rsidRPr="000B39F3">
        <w:t xml:space="preserve">, followed at a large distance by Judge G. </w:t>
      </w:r>
      <w:proofErr w:type="spellStart"/>
      <w:r w:rsidR="005A4A5E" w:rsidRPr="000B39F3">
        <w:t>Arestis</w:t>
      </w:r>
      <w:proofErr w:type="spellEnd"/>
      <w:r w:rsidR="005A4A5E" w:rsidRPr="000B39F3">
        <w:t>,</w:t>
      </w:r>
      <w:r w:rsidRPr="000B39F3">
        <w:t xml:space="preserve"> and by</w:t>
      </w:r>
      <w:r w:rsidR="005A4A5E" w:rsidRPr="000B39F3">
        <w:t xml:space="preserve"> Judge K.</w:t>
      </w:r>
      <w:r w:rsidR="00C0332F" w:rsidRPr="000B39F3">
        <w:t xml:space="preserve"> </w:t>
      </w:r>
      <w:proofErr w:type="spellStart"/>
      <w:r w:rsidR="007A4DE6" w:rsidRPr="000B39F3">
        <w:t>Lenaerts</w:t>
      </w:r>
      <w:proofErr w:type="spellEnd"/>
      <w:r w:rsidR="007A4DE6" w:rsidRPr="000B39F3">
        <w:t>.</w:t>
      </w:r>
    </w:p>
    <w:p w14:paraId="378E4DFF" w14:textId="01FA6170" w:rsidR="00124B08" w:rsidRPr="000B39F3" w:rsidRDefault="003B34AB" w:rsidP="00C67199">
      <w:pPr>
        <w:jc w:val="both"/>
      </w:pPr>
      <w:r w:rsidRPr="000B39F3">
        <w:t>Moreover, a subject-matter specific analysis reveals that</w:t>
      </w:r>
      <w:r w:rsidR="00262E7D" w:rsidRPr="000B39F3">
        <w:t xml:space="preserve"> </w:t>
      </w:r>
      <w:r w:rsidR="00C0332F" w:rsidRPr="000B39F3">
        <w:t>J</w:t>
      </w:r>
      <w:r w:rsidRPr="000B39F3">
        <w:t xml:space="preserve">udge </w:t>
      </w:r>
      <w:proofErr w:type="spellStart"/>
      <w:r w:rsidR="001E1BFF" w:rsidRPr="000B39F3">
        <w:t>Malenovský</w:t>
      </w:r>
      <w:proofErr w:type="spellEnd"/>
      <w:r w:rsidR="00262E7D" w:rsidRPr="000B39F3">
        <w:t xml:space="preserve"> </w:t>
      </w:r>
      <w:r w:rsidRPr="000B39F3">
        <w:t xml:space="preserve">is the reporting judge in most cases on copyright and related rights since the year of his appointment (2004), whereas before this </w:t>
      </w:r>
      <w:r w:rsidR="00D01DE2" w:rsidRPr="000B39F3">
        <w:t xml:space="preserve">date this </w:t>
      </w:r>
      <w:r w:rsidR="00C0332F" w:rsidRPr="000B39F3">
        <w:t>role was covered by J</w:t>
      </w:r>
      <w:r w:rsidRPr="000B39F3">
        <w:t xml:space="preserve">udge </w:t>
      </w:r>
      <w:proofErr w:type="spellStart"/>
      <w:r w:rsidRPr="000B39F3">
        <w:t>Puissochet</w:t>
      </w:r>
      <w:proofErr w:type="spellEnd"/>
      <w:r w:rsidRPr="000B39F3">
        <w:t xml:space="preserve">. </w:t>
      </w:r>
      <w:r w:rsidR="007A4DE6" w:rsidRPr="000B39F3">
        <w:t>For</w:t>
      </w:r>
      <w:r w:rsidRPr="000B39F3">
        <w:t xml:space="preserve"> database rights, Judge </w:t>
      </w:r>
      <w:proofErr w:type="spellStart"/>
      <w:r w:rsidR="00FD11DA" w:rsidRPr="000B39F3">
        <w:t>Lenaerts</w:t>
      </w:r>
      <w:proofErr w:type="spellEnd"/>
      <w:r w:rsidR="00C0332F" w:rsidRPr="000B39F3">
        <w:t xml:space="preserve"> </w:t>
      </w:r>
      <w:r w:rsidR="00923364" w:rsidRPr="000B39F3">
        <w:t xml:space="preserve">is the Reporting Judge in </w:t>
      </w:r>
      <w:r w:rsidR="00923364" w:rsidRPr="000B39F3">
        <w:lastRenderedPageBreak/>
        <w:t>almost all</w:t>
      </w:r>
      <w:r w:rsidRPr="000B39F3">
        <w:t xml:space="preserve"> cases. </w:t>
      </w:r>
      <w:r w:rsidR="001658A1" w:rsidRPr="000B39F3">
        <w:t xml:space="preserve">Only three cases of our sample related to software protection. Two of them were assigned to Judge </w:t>
      </w:r>
      <w:proofErr w:type="spellStart"/>
      <w:r w:rsidR="001658A1" w:rsidRPr="000B39F3">
        <w:t>Arestis</w:t>
      </w:r>
      <w:proofErr w:type="spellEnd"/>
      <w:r w:rsidR="001658A1" w:rsidRPr="000B39F3">
        <w:t xml:space="preserve">. A clear relationship therefore seems to emerge between specific judges and specific sub-areas of copyright law. </w:t>
      </w:r>
      <w:r w:rsidR="00DD3E3D" w:rsidRPr="000B39F3">
        <w:t>However, since the year 2011</w:t>
      </w:r>
      <w:r w:rsidR="000D3280" w:rsidRPr="000B39F3">
        <w:t xml:space="preserve"> copyright cases tend to be assigned to members of the fourth chamber </w:t>
      </w:r>
      <w:r w:rsidR="00CC0525" w:rsidRPr="000B39F3">
        <w:t xml:space="preserve">other </w:t>
      </w:r>
      <w:r w:rsidR="001D2A74" w:rsidRPr="000B39F3">
        <w:t xml:space="preserve">than </w:t>
      </w:r>
      <w:proofErr w:type="spellStart"/>
      <w:r w:rsidR="001D2A74" w:rsidRPr="000B39F3">
        <w:t>Malenovský</w:t>
      </w:r>
      <w:proofErr w:type="spellEnd"/>
      <w:r w:rsidR="000D3280" w:rsidRPr="000B39F3">
        <w:t>. A possible explanation for this</w:t>
      </w:r>
      <w:r w:rsidR="00D01DE2" w:rsidRPr="000B39F3">
        <w:t xml:space="preserve"> apparent change of policy</w:t>
      </w:r>
      <w:r w:rsidR="00EC59BA" w:rsidRPr="000B39F3">
        <w:t xml:space="preserve"> </w:t>
      </w:r>
      <w:r w:rsidR="00DD3E3D" w:rsidRPr="000B39F3">
        <w:t xml:space="preserve">could be </w:t>
      </w:r>
      <w:r w:rsidR="000D3280" w:rsidRPr="000B39F3">
        <w:t xml:space="preserve">the remarkable increase in the </w:t>
      </w:r>
      <w:r w:rsidR="001658A1" w:rsidRPr="000B39F3">
        <w:t xml:space="preserve">copyright-related </w:t>
      </w:r>
      <w:r w:rsidR="00A41550" w:rsidRPr="000B39F3">
        <w:t>workload of the Court.</w:t>
      </w:r>
    </w:p>
    <w:p w14:paraId="6953117E" w14:textId="77777777" w:rsidR="00124B08" w:rsidRPr="000B39F3" w:rsidRDefault="00124B08" w:rsidP="00124B08">
      <w:pPr>
        <w:jc w:val="center"/>
      </w:pPr>
      <w:r w:rsidRPr="000B39F3">
        <w:rPr>
          <w:noProof/>
          <w:lang w:val="en-US" w:eastAsia="en-US"/>
        </w:rPr>
        <w:drawing>
          <wp:inline distT="0" distB="0" distL="0" distR="0" wp14:anchorId="1945BC25" wp14:editId="12C2CCDC">
            <wp:extent cx="4182263" cy="2816250"/>
            <wp:effectExtent l="25400" t="25400" r="34290" b="2857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2789" cy="2816604"/>
                    </a:xfrm>
                    <a:prstGeom prst="rect">
                      <a:avLst/>
                    </a:prstGeom>
                    <a:noFill/>
                    <a:ln>
                      <a:solidFill>
                        <a:schemeClr val="tx1"/>
                      </a:solidFill>
                    </a:ln>
                    <a:effectLst/>
                    <a:extLst/>
                  </pic:spPr>
                </pic:pic>
              </a:graphicData>
            </a:graphic>
          </wp:inline>
        </w:drawing>
      </w:r>
    </w:p>
    <w:p w14:paraId="32D2F128" w14:textId="36C56384" w:rsidR="00124B08" w:rsidRPr="000B39F3" w:rsidRDefault="00124B08" w:rsidP="00E54D20">
      <w:pPr>
        <w:pStyle w:val="Caption"/>
        <w:jc w:val="center"/>
      </w:pPr>
      <w:r w:rsidRPr="000B39F3">
        <w:t>Figure</w:t>
      </w:r>
      <w:r w:rsidR="00B60D27" w:rsidRPr="000B39F3">
        <w:t xml:space="preserve"> </w:t>
      </w:r>
      <w:r w:rsidR="00920A3C" w:rsidRPr="000B39F3">
        <w:t>3</w:t>
      </w:r>
      <w:r w:rsidR="00CF35E9" w:rsidRPr="000B39F3">
        <w:t>–</w:t>
      </w:r>
      <w:r w:rsidRPr="000B39F3">
        <w:t xml:space="preserve"> C</w:t>
      </w:r>
      <w:r w:rsidR="007A4DE6" w:rsidRPr="000B39F3">
        <w:t>ases by</w:t>
      </w:r>
      <w:r w:rsidR="00CA09A6" w:rsidRPr="000B39F3">
        <w:t xml:space="preserve"> </w:t>
      </w:r>
      <w:r w:rsidR="00637E7D" w:rsidRPr="000B39F3">
        <w:t>Reporting Judge</w:t>
      </w:r>
      <w:r w:rsidR="00D652F5" w:rsidRPr="000B39F3">
        <w:t xml:space="preserve"> and subject matter</w:t>
      </w:r>
    </w:p>
    <w:p w14:paraId="617A51F6" w14:textId="77777777" w:rsidR="007A78CD" w:rsidRPr="000B39F3" w:rsidRDefault="007A78CD" w:rsidP="007A78CD">
      <w:pPr>
        <w:pStyle w:val="Caption"/>
      </w:pPr>
    </w:p>
    <w:p w14:paraId="2CA740AE" w14:textId="45DAB003" w:rsidR="00651EB7" w:rsidRPr="000B39F3" w:rsidRDefault="00651EB7" w:rsidP="00423D21">
      <w:pPr>
        <w:jc w:val="both"/>
      </w:pPr>
      <w:r w:rsidRPr="000B39F3">
        <w:t xml:space="preserve">Running the chi-square test on the assignment of cases to individual reporting judges, the </w:t>
      </w:r>
      <w:r w:rsidR="00CF35E9" w:rsidRPr="000B39F3">
        <w:t xml:space="preserve">statistical </w:t>
      </w:r>
      <w:r w:rsidRPr="000B39F3">
        <w:t xml:space="preserve">findings </w:t>
      </w:r>
      <w:r w:rsidR="00CF35E9" w:rsidRPr="000B39F3">
        <w:t xml:space="preserve">(unsurprisingly) are </w:t>
      </w:r>
      <w:r w:rsidRPr="000B39F3">
        <w:t>striking. The results are significant at a p-value of 0.000713</w:t>
      </w:r>
      <w:proofErr w:type="gramStart"/>
      <w:r w:rsidRPr="000B39F3">
        <w:t xml:space="preserve">, that is there is a probability below 0.1 per cent that the assignments are </w:t>
      </w:r>
      <w:r w:rsidRPr="000B39F3">
        <w:rPr>
          <w:i/>
        </w:rPr>
        <w:t>not</w:t>
      </w:r>
      <w:r w:rsidR="00AB5B6A" w:rsidRPr="000B39F3">
        <w:rPr>
          <w:i/>
        </w:rPr>
        <w:t xml:space="preserve"> </w:t>
      </w:r>
      <w:r w:rsidR="00CF35E9" w:rsidRPr="000B39F3">
        <w:t xml:space="preserve">the </w:t>
      </w:r>
      <w:r w:rsidRPr="000B39F3">
        <w:t>result of external factor</w:t>
      </w:r>
      <w:r w:rsidR="00CF35E9" w:rsidRPr="000B39F3">
        <w:t>s</w:t>
      </w:r>
      <w:proofErr w:type="gramEnd"/>
      <w:r w:rsidR="00CF35E9" w:rsidRPr="000B39F3">
        <w:t xml:space="preserve"> (such as deliberate choices).</w:t>
      </w:r>
    </w:p>
    <w:p w14:paraId="276925C9" w14:textId="33AFA51B" w:rsidR="0007762E" w:rsidRPr="000B39F3" w:rsidRDefault="005A4A5E" w:rsidP="00423D21">
      <w:pPr>
        <w:jc w:val="both"/>
      </w:pPr>
      <w:r w:rsidRPr="000B39F3">
        <w:t xml:space="preserve">The analysis </w:t>
      </w:r>
      <w:r w:rsidR="00696D7E" w:rsidRPr="000B39F3">
        <w:t>yields</w:t>
      </w:r>
      <w:r w:rsidR="00F257DE" w:rsidRPr="000B39F3">
        <w:t xml:space="preserve"> </w:t>
      </w:r>
      <w:r w:rsidR="00696D7E" w:rsidRPr="000B39F3">
        <w:t>less extreme results</w:t>
      </w:r>
      <w:r w:rsidR="00F257DE" w:rsidRPr="000B39F3">
        <w:t xml:space="preserve"> </w:t>
      </w:r>
      <w:r w:rsidR="00696D7E" w:rsidRPr="000B39F3">
        <w:t>with relation to</w:t>
      </w:r>
      <w:r w:rsidRPr="000B39F3">
        <w:t xml:space="preserve"> the presence of specific Advocate</w:t>
      </w:r>
      <w:r w:rsidR="00AF2A13" w:rsidRPr="000B39F3">
        <w:t>s General</w:t>
      </w:r>
      <w:r w:rsidRPr="000B39F3">
        <w:t xml:space="preserve"> in the </w:t>
      </w:r>
      <w:r w:rsidR="003A4FCF" w:rsidRPr="000B39F3">
        <w:t xml:space="preserve">examined </w:t>
      </w:r>
      <w:proofErr w:type="gramStart"/>
      <w:r w:rsidR="003A4FCF" w:rsidRPr="000B39F3">
        <w:t>case-</w:t>
      </w:r>
      <w:r w:rsidR="00363777" w:rsidRPr="000B39F3">
        <w:t>l</w:t>
      </w:r>
      <w:r w:rsidR="00696D7E" w:rsidRPr="000B39F3">
        <w:t>aw</w:t>
      </w:r>
      <w:proofErr w:type="gramEnd"/>
      <w:r w:rsidRPr="000B39F3">
        <w:t>.</w:t>
      </w:r>
      <w:r w:rsidR="00696D7E" w:rsidRPr="000B39F3">
        <w:t xml:space="preserve"> However, a pattern </w:t>
      </w:r>
      <w:r w:rsidR="00363777" w:rsidRPr="000B39F3">
        <w:t>emerges also here</w:t>
      </w:r>
      <w:r w:rsidR="00696D7E" w:rsidRPr="000B39F3">
        <w:t>.</w:t>
      </w:r>
      <w:r w:rsidR="00F257DE" w:rsidRPr="000B39F3">
        <w:t xml:space="preserve"> </w:t>
      </w:r>
      <w:r w:rsidR="00696D7E" w:rsidRPr="000B39F3">
        <w:t>In the area of copyright law, t</w:t>
      </w:r>
      <w:r w:rsidRPr="000B39F3">
        <w:t xml:space="preserve">wo AGs show a number of presences </w:t>
      </w:r>
      <w:r w:rsidR="000D6B2C" w:rsidRPr="000B39F3">
        <w:t>notably higher</w:t>
      </w:r>
      <w:r w:rsidRPr="000B39F3">
        <w:t xml:space="preserve"> to that of others: V. </w:t>
      </w:r>
      <w:proofErr w:type="spellStart"/>
      <w:r w:rsidRPr="000B39F3">
        <w:t>Trstenjak</w:t>
      </w:r>
      <w:proofErr w:type="spellEnd"/>
      <w:r w:rsidRPr="000B39F3">
        <w:t xml:space="preserve"> and E</w:t>
      </w:r>
      <w:r w:rsidR="00243716" w:rsidRPr="000B39F3">
        <w:t>.</w:t>
      </w:r>
      <w:r w:rsidR="00F257DE" w:rsidRPr="000B39F3">
        <w:t xml:space="preserve"> </w:t>
      </w:r>
      <w:proofErr w:type="spellStart"/>
      <w:r w:rsidRPr="000B39F3">
        <w:t>Sharpston</w:t>
      </w:r>
      <w:proofErr w:type="spellEnd"/>
      <w:r w:rsidRPr="000B39F3">
        <w:t xml:space="preserve">. </w:t>
      </w:r>
      <w:r w:rsidR="00696D7E" w:rsidRPr="000B39F3">
        <w:t xml:space="preserve">In the area of software, although the size </w:t>
      </w:r>
      <w:r w:rsidR="00243716" w:rsidRPr="000B39F3">
        <w:t>of the sample is small,</w:t>
      </w:r>
      <w:r w:rsidR="00696D7E" w:rsidRPr="000B39F3">
        <w:t xml:space="preserve"> AG Bot is assigned to all </w:t>
      </w:r>
      <w:r w:rsidR="00243716" w:rsidRPr="000B39F3">
        <w:t xml:space="preserve">three </w:t>
      </w:r>
      <w:r w:rsidR="00696D7E" w:rsidRPr="000B39F3">
        <w:t xml:space="preserve">cases. Finally, in the area of </w:t>
      </w:r>
      <w:r w:rsidR="000D6B2C" w:rsidRPr="000B39F3">
        <w:t xml:space="preserve">the </w:t>
      </w:r>
      <w:r w:rsidR="00696D7E" w:rsidRPr="000B39F3">
        <w:t>database</w:t>
      </w:r>
      <w:r w:rsidR="000D6B2C" w:rsidRPr="000B39F3">
        <w:t xml:space="preserve"> right</w:t>
      </w:r>
      <w:r w:rsidR="00696D7E" w:rsidRPr="000B39F3">
        <w:t xml:space="preserve">, despite an apparent prevalence of AG </w:t>
      </w:r>
      <w:proofErr w:type="spellStart"/>
      <w:r w:rsidR="00696D7E" w:rsidRPr="000B39F3">
        <w:t>Stix-Hackl</w:t>
      </w:r>
      <w:proofErr w:type="spellEnd"/>
      <w:r w:rsidR="00696D7E" w:rsidRPr="000B39F3">
        <w:t xml:space="preserve">, the </w:t>
      </w:r>
      <w:r w:rsidR="00923364" w:rsidRPr="000B39F3">
        <w:t xml:space="preserve">distribution among AGs </w:t>
      </w:r>
      <w:r w:rsidR="00423D21" w:rsidRPr="000B39F3">
        <w:t xml:space="preserve">is </w:t>
      </w:r>
      <w:r w:rsidR="000D6B2C" w:rsidRPr="000B39F3">
        <w:t>more</w:t>
      </w:r>
      <w:r w:rsidR="00923364" w:rsidRPr="000B39F3">
        <w:t xml:space="preserve"> balanced</w:t>
      </w:r>
      <w:r w:rsidR="00696D7E" w:rsidRPr="000B39F3">
        <w:t>.</w:t>
      </w:r>
      <w:r w:rsidR="00923364" w:rsidRPr="000B39F3">
        <w:rPr>
          <w:rStyle w:val="FootnoteReference"/>
        </w:rPr>
        <w:footnoteReference w:id="48"/>
      </w:r>
    </w:p>
    <w:p w14:paraId="07DB49F1" w14:textId="77777777" w:rsidR="00124B08" w:rsidRPr="000B39F3" w:rsidRDefault="00124B08" w:rsidP="00CF35E9">
      <w:pPr>
        <w:pStyle w:val="Caption"/>
        <w:jc w:val="center"/>
      </w:pPr>
      <w:r w:rsidRPr="000B39F3">
        <w:rPr>
          <w:noProof/>
          <w:lang w:val="en-US" w:eastAsia="en-US"/>
        </w:rPr>
        <w:lastRenderedPageBreak/>
        <w:drawing>
          <wp:inline distT="0" distB="0" distL="0" distR="0" wp14:anchorId="400C6E76" wp14:editId="0113AC32">
            <wp:extent cx="4700415" cy="2815897"/>
            <wp:effectExtent l="25400" t="25400" r="24130" b="292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0600" cy="2816008"/>
                    </a:xfrm>
                    <a:prstGeom prst="rect">
                      <a:avLst/>
                    </a:prstGeom>
                    <a:noFill/>
                    <a:ln>
                      <a:solidFill>
                        <a:schemeClr val="tx1"/>
                      </a:solidFill>
                    </a:ln>
                    <a:effectLst/>
                    <a:extLst/>
                  </pic:spPr>
                </pic:pic>
              </a:graphicData>
            </a:graphic>
          </wp:inline>
        </w:drawing>
      </w:r>
    </w:p>
    <w:p w14:paraId="02B065B1" w14:textId="77777777" w:rsidR="00124B08" w:rsidRPr="000B39F3" w:rsidRDefault="00124B08" w:rsidP="00CF35E9">
      <w:pPr>
        <w:pStyle w:val="Caption"/>
        <w:jc w:val="center"/>
      </w:pPr>
    </w:p>
    <w:p w14:paraId="4439E130" w14:textId="77777777" w:rsidR="00637E7D" w:rsidRPr="000B39F3" w:rsidRDefault="00124B08" w:rsidP="00CF35E9">
      <w:pPr>
        <w:pStyle w:val="Caption"/>
        <w:jc w:val="center"/>
      </w:pPr>
      <w:r w:rsidRPr="000B39F3">
        <w:t>Figure</w:t>
      </w:r>
      <w:r w:rsidR="002B0EBD" w:rsidRPr="000B39F3">
        <w:t xml:space="preserve"> </w:t>
      </w:r>
      <w:r w:rsidR="007014AC" w:rsidRPr="000B39F3">
        <w:t>4</w:t>
      </w:r>
      <w:r w:rsidR="00CF35E9" w:rsidRPr="000B39F3">
        <w:rPr>
          <w:noProof/>
        </w:rPr>
        <w:t xml:space="preserve"> –</w:t>
      </w:r>
      <w:r w:rsidRPr="000B39F3">
        <w:t xml:space="preserve"> C</w:t>
      </w:r>
      <w:r w:rsidR="00CF35E9" w:rsidRPr="000B39F3">
        <w:t>ases by</w:t>
      </w:r>
      <w:r w:rsidRPr="000B39F3">
        <w:t xml:space="preserve"> Advocate</w:t>
      </w:r>
      <w:r w:rsidR="00D652F5" w:rsidRPr="000B39F3">
        <w:t>s</w:t>
      </w:r>
      <w:r w:rsidRPr="000B39F3">
        <w:t xml:space="preserve"> General</w:t>
      </w:r>
      <w:r w:rsidR="00D652F5" w:rsidRPr="000B39F3">
        <w:t xml:space="preserve"> and subject matter</w:t>
      </w:r>
    </w:p>
    <w:p w14:paraId="7B80B684" w14:textId="77777777" w:rsidR="008104D0" w:rsidRPr="000B39F3" w:rsidRDefault="00423D21" w:rsidP="00CF0B96">
      <w:pPr>
        <w:jc w:val="both"/>
      </w:pPr>
      <w:r w:rsidRPr="000B39F3">
        <w:tab/>
      </w:r>
    </w:p>
    <w:p w14:paraId="13E6F31F" w14:textId="77777777" w:rsidR="00920A3C" w:rsidRPr="000B39F3" w:rsidRDefault="008104D0" w:rsidP="00C67199">
      <w:pPr>
        <w:jc w:val="both"/>
      </w:pPr>
      <w:r w:rsidRPr="000B39F3">
        <w:t xml:space="preserve">Appendix 1 of this article shows the complete sample of cases, categorised by parties, year, </w:t>
      </w:r>
      <w:proofErr w:type="gramStart"/>
      <w:r w:rsidRPr="000B39F3">
        <w:t>chambers</w:t>
      </w:r>
      <w:proofErr w:type="gramEnd"/>
      <w:r w:rsidRPr="000B39F3">
        <w:t>, AG and reporting judge.</w:t>
      </w:r>
    </w:p>
    <w:p w14:paraId="1E09A7D5" w14:textId="5D8FB08E" w:rsidR="00BE543F" w:rsidRPr="000B39F3" w:rsidRDefault="00717DC4" w:rsidP="00C67199">
      <w:pPr>
        <w:jc w:val="both"/>
      </w:pPr>
      <w:r w:rsidRPr="000B39F3">
        <w:t>The data above show</w:t>
      </w:r>
      <w:r w:rsidR="005A4A5E" w:rsidRPr="000B39F3">
        <w:t xml:space="preserve"> a </w:t>
      </w:r>
      <w:r w:rsidRPr="000B39F3">
        <w:t xml:space="preserve">statistically significant </w:t>
      </w:r>
      <w:r w:rsidR="005A4A5E" w:rsidRPr="000B39F3">
        <w:t xml:space="preserve">dominance of specific </w:t>
      </w:r>
      <w:r w:rsidR="00BE543F" w:rsidRPr="000B39F3">
        <w:t>member</w:t>
      </w:r>
      <w:r w:rsidR="005A4A5E" w:rsidRPr="000B39F3">
        <w:t xml:space="preserve">s of the ECJ in copyright </w:t>
      </w:r>
      <w:r w:rsidR="000D3280" w:rsidRPr="000B39F3">
        <w:t xml:space="preserve">and database </w:t>
      </w:r>
      <w:r w:rsidR="005A4A5E" w:rsidRPr="000B39F3">
        <w:t xml:space="preserve">cases, in </w:t>
      </w:r>
      <w:r w:rsidRPr="000B39F3">
        <w:t>what appears to reflect</w:t>
      </w:r>
      <w:r w:rsidR="005A4A5E" w:rsidRPr="000B39F3">
        <w:t xml:space="preserve"> a traditional unwritten operational </w:t>
      </w:r>
      <w:r w:rsidR="00BE543F" w:rsidRPr="000B39F3">
        <w:t>code</w:t>
      </w:r>
      <w:r w:rsidR="005A4A5E" w:rsidRPr="000B39F3">
        <w:t xml:space="preserve"> of the Court, which tends to assign cases </w:t>
      </w:r>
      <w:r w:rsidR="000324ED" w:rsidRPr="000B39F3">
        <w:t xml:space="preserve">by subject </w:t>
      </w:r>
      <w:r w:rsidR="00171937" w:rsidRPr="000B39F3">
        <w:t>matter</w:t>
      </w:r>
      <w:r w:rsidR="005A4A5E" w:rsidRPr="000B39F3">
        <w:t xml:space="preserve">, </w:t>
      </w:r>
      <w:r w:rsidR="00171937" w:rsidRPr="000B39F3">
        <w:t>enabling the development of specific expertise</w:t>
      </w:r>
      <w:r w:rsidR="005A4A5E" w:rsidRPr="000B39F3">
        <w:t>.</w:t>
      </w:r>
      <w:bookmarkStart w:id="20" w:name="_Ref413873129"/>
      <w:r w:rsidR="005A4A5E" w:rsidRPr="000B39F3">
        <w:rPr>
          <w:rStyle w:val="FootnoteReference"/>
        </w:rPr>
        <w:footnoteReference w:id="49"/>
      </w:r>
      <w:bookmarkEnd w:id="20"/>
      <w:r w:rsidR="002E0DD9" w:rsidRPr="000B39F3">
        <w:t xml:space="preserve">Judge </w:t>
      </w:r>
      <w:proofErr w:type="spellStart"/>
      <w:r w:rsidR="002E0DD9" w:rsidRPr="000B39F3">
        <w:t>Malenowsky</w:t>
      </w:r>
      <w:proofErr w:type="spellEnd"/>
      <w:r w:rsidR="002E0DD9" w:rsidRPr="000B39F3">
        <w:t xml:space="preserve"> clearly prevail</w:t>
      </w:r>
      <w:r w:rsidR="00AB5B6A" w:rsidRPr="000B39F3">
        <w:t>s</w:t>
      </w:r>
      <w:r w:rsidR="002E0DD9" w:rsidRPr="000B39F3">
        <w:t xml:space="preserve"> in the assignment of copyright cases, while database cases are assigned to Judge </w:t>
      </w:r>
      <w:proofErr w:type="spellStart"/>
      <w:r w:rsidR="002E0DD9" w:rsidRPr="000B39F3">
        <w:t>L</w:t>
      </w:r>
      <w:r w:rsidR="002B0EBD" w:rsidRPr="000B39F3">
        <w:t>e</w:t>
      </w:r>
      <w:r w:rsidR="002E0DD9" w:rsidRPr="000B39F3">
        <w:t>naertz</w:t>
      </w:r>
      <w:proofErr w:type="spellEnd"/>
      <w:r w:rsidR="002E0DD9" w:rsidRPr="000B39F3">
        <w:t xml:space="preserve">. </w:t>
      </w:r>
      <w:proofErr w:type="spellStart"/>
      <w:r w:rsidR="001E1BFF" w:rsidRPr="000B39F3">
        <w:t>Malenovský</w:t>
      </w:r>
      <w:proofErr w:type="spellEnd"/>
      <w:r w:rsidR="00F257DE" w:rsidRPr="000B39F3">
        <w:t xml:space="preserve"> </w:t>
      </w:r>
      <w:r w:rsidRPr="000B39F3">
        <w:t>ha</w:t>
      </w:r>
      <w:r w:rsidR="002E0DD9" w:rsidRPr="000B39F3">
        <w:t>s</w:t>
      </w:r>
      <w:r w:rsidR="005A4A5E" w:rsidRPr="000B39F3">
        <w:t xml:space="preserve"> a background in E</w:t>
      </w:r>
      <w:r w:rsidR="00975314" w:rsidRPr="000B39F3">
        <w:t>uropean Law, without a specialis</w:t>
      </w:r>
      <w:r w:rsidR="005A4A5E" w:rsidRPr="000B39F3">
        <w:t xml:space="preserve">ation in </w:t>
      </w:r>
      <w:r w:rsidR="00171937" w:rsidRPr="000B39F3">
        <w:t>I</w:t>
      </w:r>
      <w:r w:rsidR="005A4A5E" w:rsidRPr="000B39F3">
        <w:t xml:space="preserve">ntellectual </w:t>
      </w:r>
      <w:r w:rsidR="00171937" w:rsidRPr="000B39F3">
        <w:t>P</w:t>
      </w:r>
      <w:r w:rsidR="005A4A5E" w:rsidRPr="000B39F3">
        <w:t xml:space="preserve">roperty </w:t>
      </w:r>
      <w:r w:rsidR="00171937" w:rsidRPr="000B39F3">
        <w:t>L</w:t>
      </w:r>
      <w:r w:rsidR="005A4A5E" w:rsidRPr="000B39F3">
        <w:t xml:space="preserve">aw. His experience in copyright matters seems to derive from the practice before the Court. </w:t>
      </w:r>
      <w:r w:rsidR="00BE543F" w:rsidRPr="000B39F3">
        <w:t>This is in line with the t</w:t>
      </w:r>
      <w:r w:rsidR="005A4A5E" w:rsidRPr="000B39F3">
        <w:t>rad</w:t>
      </w:r>
      <w:r w:rsidR="00B63424" w:rsidRPr="000B39F3">
        <w:t>i</w:t>
      </w:r>
      <w:r w:rsidR="00597C12">
        <w:t>tion of the Court. M</w:t>
      </w:r>
      <w:r w:rsidR="00BE543F" w:rsidRPr="000B39F3">
        <w:t>embers have a generalist background</w:t>
      </w:r>
      <w:r w:rsidR="005A4A5E" w:rsidRPr="000B39F3">
        <w:t>, because they are expected to examine</w:t>
      </w:r>
      <w:r w:rsidR="00597C12">
        <w:t xml:space="preserve"> a wide array of </w:t>
      </w:r>
      <w:proofErr w:type="gramStart"/>
      <w:r w:rsidR="00597C12">
        <w:t>subject-matter</w:t>
      </w:r>
      <w:proofErr w:type="gramEnd"/>
      <w:r w:rsidR="005A4A5E" w:rsidRPr="000B39F3">
        <w:t>.</w:t>
      </w:r>
      <w:r w:rsidR="005A4A5E" w:rsidRPr="000B39F3">
        <w:rPr>
          <w:rStyle w:val="FootnoteReference"/>
        </w:rPr>
        <w:footnoteReference w:id="50"/>
      </w:r>
    </w:p>
    <w:p w14:paraId="7378595D" w14:textId="77777777" w:rsidR="00CF0B96" w:rsidRPr="000B39F3" w:rsidRDefault="00B63424" w:rsidP="00CF0B96">
      <w:pPr>
        <w:jc w:val="both"/>
      </w:pPr>
      <w:r w:rsidRPr="000B39F3">
        <w:t>A cross comparison between c</w:t>
      </w:r>
      <w:r w:rsidR="005A4A5E" w:rsidRPr="000B39F3">
        <w:t xml:space="preserve">hamber assignment and </w:t>
      </w:r>
      <w:r w:rsidR="00BE543F" w:rsidRPr="000B39F3">
        <w:t>member</w:t>
      </w:r>
      <w:r w:rsidR="005A4A5E" w:rsidRPr="000B39F3">
        <w:t xml:space="preserve"> assignment confirms the above observations. Copyright cases assigned to the Fourth Chamber coincide with</w:t>
      </w:r>
      <w:r w:rsidR="007929DA" w:rsidRPr="000B39F3">
        <w:t xml:space="preserve"> cases assigned to Judge </w:t>
      </w:r>
      <w:proofErr w:type="spellStart"/>
      <w:r w:rsidR="00B016B6" w:rsidRPr="000B39F3">
        <w:t>Malenovský</w:t>
      </w:r>
      <w:proofErr w:type="spellEnd"/>
      <w:r w:rsidR="005A4A5E" w:rsidRPr="000B39F3">
        <w:t xml:space="preserve">, who was assigned to both the Third and the Fourth Chambers. After </w:t>
      </w:r>
      <w:proofErr w:type="spellStart"/>
      <w:r w:rsidR="00B016B6" w:rsidRPr="000B39F3">
        <w:t>Malenovský</w:t>
      </w:r>
      <w:proofErr w:type="spellEnd"/>
      <w:r w:rsidR="005A4A5E" w:rsidRPr="000B39F3">
        <w:t xml:space="preserve">, </w:t>
      </w:r>
      <w:proofErr w:type="gramStart"/>
      <w:r w:rsidR="005A4A5E" w:rsidRPr="000B39F3">
        <w:t xml:space="preserve">a much lower recurrence of presences can be registered by Judges </w:t>
      </w:r>
      <w:proofErr w:type="spellStart"/>
      <w:r w:rsidR="005A4A5E" w:rsidRPr="000B39F3">
        <w:t>Arestis</w:t>
      </w:r>
      <w:proofErr w:type="spellEnd"/>
      <w:r w:rsidR="005A4A5E" w:rsidRPr="000B39F3">
        <w:t xml:space="preserve"> and </w:t>
      </w:r>
      <w:proofErr w:type="spellStart"/>
      <w:r w:rsidR="00FD11DA" w:rsidRPr="000B39F3">
        <w:t>Lenaerts</w:t>
      </w:r>
      <w:proofErr w:type="spellEnd"/>
      <w:r w:rsidR="005A4A5E" w:rsidRPr="000B39F3">
        <w:t>, also from the Third and Fourth Chamber,</w:t>
      </w:r>
      <w:proofErr w:type="gramEnd"/>
      <w:r w:rsidR="005A4A5E" w:rsidRPr="000B39F3">
        <w:t xml:space="preserve"> more often though sitting when the Court was in Grand Chamber formation. </w:t>
      </w:r>
      <w:r w:rsidR="00787774" w:rsidRPr="000B39F3">
        <w:t xml:space="preserve">A marginal share of </w:t>
      </w:r>
      <w:r w:rsidR="005A4A5E" w:rsidRPr="000B39F3">
        <w:t xml:space="preserve">copyright cases </w:t>
      </w:r>
      <w:r w:rsidR="00787774" w:rsidRPr="000B39F3">
        <w:t xml:space="preserve">is </w:t>
      </w:r>
      <w:r w:rsidR="005A4A5E" w:rsidRPr="000B39F3">
        <w:t>assigned to the Second</w:t>
      </w:r>
      <w:r w:rsidR="00787774" w:rsidRPr="000B39F3">
        <w:t>, Fifth and Sixth Chamber</w:t>
      </w:r>
      <w:r w:rsidR="005A4A5E" w:rsidRPr="000B39F3">
        <w:t xml:space="preserve">. </w:t>
      </w:r>
      <w:r w:rsidR="00717DC4" w:rsidRPr="000B39F3">
        <w:t>As noted in section 1, it was in one of these cases that the composition of the Court (and its ‘lack of experience’)</w:t>
      </w:r>
      <w:r w:rsidR="005A4A5E" w:rsidRPr="000B39F3">
        <w:t xml:space="preserve"> has been </w:t>
      </w:r>
      <w:r w:rsidR="000B2E0E" w:rsidRPr="000B39F3">
        <w:t xml:space="preserve">severely </w:t>
      </w:r>
      <w:r w:rsidR="001431E9" w:rsidRPr="000B39F3">
        <w:t>criticised</w:t>
      </w:r>
      <w:r w:rsidR="005A4A5E" w:rsidRPr="000B39F3">
        <w:t>.</w:t>
      </w:r>
      <w:r w:rsidR="005A4A5E" w:rsidRPr="000B39F3">
        <w:rPr>
          <w:rStyle w:val="FootnoteReference"/>
        </w:rPr>
        <w:footnoteReference w:id="51"/>
      </w:r>
    </w:p>
    <w:p w14:paraId="1227317A" w14:textId="77777777" w:rsidR="007B7209" w:rsidRPr="000B39F3" w:rsidRDefault="007B7209" w:rsidP="00CF0B96">
      <w:pPr>
        <w:jc w:val="both"/>
      </w:pPr>
    </w:p>
    <w:p w14:paraId="1216C8EC" w14:textId="77777777" w:rsidR="00A17B13" w:rsidRDefault="00A17B13">
      <w:pPr>
        <w:spacing w:line="276" w:lineRule="auto"/>
        <w:rPr>
          <w:u w:val="single"/>
        </w:rPr>
      </w:pPr>
      <w:r>
        <w:rPr>
          <w:u w:val="single"/>
        </w:rPr>
        <w:br w:type="page"/>
      </w:r>
    </w:p>
    <w:p w14:paraId="6B092D75" w14:textId="4AAAB60C" w:rsidR="001A1C63" w:rsidRPr="000B39F3" w:rsidRDefault="005A4A5E" w:rsidP="001E1BFF">
      <w:pPr>
        <w:jc w:val="both"/>
        <w:outlineLvl w:val="0"/>
        <w:rPr>
          <w:u w:val="single"/>
        </w:rPr>
      </w:pPr>
      <w:r w:rsidRPr="000B39F3">
        <w:rPr>
          <w:u w:val="single"/>
        </w:rPr>
        <w:lastRenderedPageBreak/>
        <w:t xml:space="preserve">The </w:t>
      </w:r>
      <w:r w:rsidR="00BE543F" w:rsidRPr="000B39F3">
        <w:rPr>
          <w:u w:val="single"/>
        </w:rPr>
        <w:t>m</w:t>
      </w:r>
      <w:r w:rsidRPr="000B39F3">
        <w:rPr>
          <w:u w:val="single"/>
        </w:rPr>
        <w:t>embers of the ECJ</w:t>
      </w:r>
    </w:p>
    <w:p w14:paraId="5A21D844" w14:textId="69FD310A" w:rsidR="00C73F7D" w:rsidRPr="000B39F3" w:rsidRDefault="00C73F7D" w:rsidP="00C67199">
      <w:pPr>
        <w:jc w:val="both"/>
      </w:pPr>
      <w:r w:rsidRPr="000B39F3">
        <w:t>Having identified a pattern of case assignment that must be deliberate, we now examine if there is specific subject experti</w:t>
      </w:r>
      <w:r w:rsidR="00F62646" w:rsidRPr="000B39F3">
        <w:t>se revealed by the background of</w:t>
      </w:r>
      <w:r w:rsidR="00F257DE" w:rsidRPr="000B39F3">
        <w:t xml:space="preserve"> </w:t>
      </w:r>
      <w:r w:rsidR="00F62646" w:rsidRPr="000B39F3">
        <w:t>those</w:t>
      </w:r>
      <w:r w:rsidRPr="000B39F3">
        <w:t xml:space="preserve"> judges that</w:t>
      </w:r>
      <w:r w:rsidR="00F257DE" w:rsidRPr="000B39F3">
        <w:t xml:space="preserve"> </w:t>
      </w:r>
      <w:r w:rsidR="00523876" w:rsidRPr="000B39F3">
        <w:t>appear to be</w:t>
      </w:r>
      <w:r w:rsidR="00F62646" w:rsidRPr="000B39F3">
        <w:t xml:space="preserve"> shaping the development of EU copyright jurisprudence.</w:t>
      </w:r>
    </w:p>
    <w:p w14:paraId="5F727ECB" w14:textId="284CD3DD" w:rsidR="001A1C63" w:rsidRPr="000B39F3" w:rsidRDefault="00B63424" w:rsidP="00C67199">
      <w:pPr>
        <w:jc w:val="both"/>
      </w:pPr>
      <w:r w:rsidRPr="000B39F3">
        <w:t>M</w:t>
      </w:r>
      <w:r w:rsidR="00BE543F" w:rsidRPr="000B39F3">
        <w:t>ember</w:t>
      </w:r>
      <w:r w:rsidR="005A4A5E" w:rsidRPr="000B39F3">
        <w:t>s of the Europea</w:t>
      </w:r>
      <w:r w:rsidR="00BE543F" w:rsidRPr="000B39F3">
        <w:t>n Court of Justice (judges and Advocates G</w:t>
      </w:r>
      <w:r w:rsidR="005A4A5E" w:rsidRPr="000B39F3">
        <w:t>eneral), according to European Law</w:t>
      </w:r>
      <w:r w:rsidRPr="000B39F3">
        <w:t>,</w:t>
      </w:r>
      <w:r w:rsidR="005A4A5E" w:rsidRPr="000B39F3">
        <w:t xml:space="preserve"> must be appointed by a </w:t>
      </w:r>
      <w:r w:rsidR="00336396" w:rsidRPr="000B39F3">
        <w:t>‘</w:t>
      </w:r>
      <w:r w:rsidR="005A4A5E" w:rsidRPr="000B39F3">
        <w:t>common accord of the governments of Member States</w:t>
      </w:r>
      <w:r w:rsidR="00AB6BFB" w:rsidRPr="000B39F3">
        <w:t>’</w:t>
      </w:r>
      <w:r w:rsidR="005A4A5E" w:rsidRPr="000B39F3">
        <w:t>.</w:t>
      </w:r>
      <w:r w:rsidR="005A4A5E" w:rsidRPr="000B39F3">
        <w:rPr>
          <w:rStyle w:val="FootnoteReference"/>
        </w:rPr>
        <w:footnoteReference w:id="52"/>
      </w:r>
      <w:r w:rsidR="005A4A5E" w:rsidRPr="000B39F3">
        <w:t xml:space="preserve"> However, since its inception the practice of the recruitment of the Court involved individual Member States appointing </w:t>
      </w:r>
      <w:r w:rsidR="00336396" w:rsidRPr="000B39F3">
        <w:t>‘</w:t>
      </w:r>
      <w:r w:rsidR="005A4A5E" w:rsidRPr="000B39F3">
        <w:t>their</w:t>
      </w:r>
      <w:r w:rsidR="00336396" w:rsidRPr="000B39F3">
        <w:t>’</w:t>
      </w:r>
      <w:r w:rsidR="005A4A5E" w:rsidRPr="000B39F3">
        <w:t xml:space="preserve"> judges without any interference from the others.</w:t>
      </w:r>
      <w:r w:rsidR="005A4A5E" w:rsidRPr="000B39F3">
        <w:rPr>
          <w:rStyle w:val="FootnoteReference"/>
        </w:rPr>
        <w:footnoteReference w:id="53"/>
      </w:r>
      <w:r w:rsidR="005A4A5E" w:rsidRPr="000B39F3">
        <w:t xml:space="preserve"> Necessary experience and qualifications for the appointment of a </w:t>
      </w:r>
      <w:r w:rsidR="00BE543F" w:rsidRPr="000B39F3">
        <w:t>member</w:t>
      </w:r>
      <w:r w:rsidR="005A4A5E" w:rsidRPr="000B39F3">
        <w:t xml:space="preserve"> to the Court of Justice of the European Union (including all courts) are only broadly specified.  </w:t>
      </w:r>
    </w:p>
    <w:p w14:paraId="467726A2" w14:textId="77777777" w:rsidR="001A1C63" w:rsidRPr="000B39F3" w:rsidRDefault="005A4A5E" w:rsidP="00C67199">
      <w:pPr>
        <w:jc w:val="both"/>
      </w:pPr>
      <w:r w:rsidRPr="000B39F3">
        <w:t xml:space="preserve">Article 253 of the Treaty of the European Union provides that candidates to the European Court of Justice should be </w:t>
      </w:r>
      <w:r w:rsidR="00336396" w:rsidRPr="000B39F3">
        <w:t>‘</w:t>
      </w:r>
      <w:r w:rsidRPr="000B39F3">
        <w:t>persons whose independence is beyond doubt and who possess the qualifications for appointment to the highest judicial offices in their respective countries or who are jurisprudents of recognised competence</w:t>
      </w:r>
      <w:r w:rsidR="00336396" w:rsidRPr="000B39F3">
        <w:t>’</w:t>
      </w:r>
      <w:r w:rsidRPr="000B39F3">
        <w:t>.</w:t>
      </w:r>
      <w:r w:rsidRPr="000B39F3">
        <w:rPr>
          <w:rStyle w:val="FootnoteReference"/>
        </w:rPr>
        <w:footnoteReference w:id="54"/>
      </w:r>
    </w:p>
    <w:p w14:paraId="6411FC7A" w14:textId="77777777" w:rsidR="001A1C63" w:rsidRPr="000B39F3" w:rsidRDefault="005A4A5E" w:rsidP="00C67199">
      <w:pPr>
        <w:jc w:val="both"/>
      </w:pPr>
      <w:r w:rsidRPr="000B39F3">
        <w:t>However, ac</w:t>
      </w:r>
      <w:r w:rsidR="00BC13C7" w:rsidRPr="000B39F3">
        <w:t>cording to the Judge</w:t>
      </w:r>
      <w:r w:rsidRPr="000B39F3">
        <w:t>s</w:t>
      </w:r>
      <w:r w:rsidR="00336396" w:rsidRPr="000B39F3">
        <w:t>’</w:t>
      </w:r>
      <w:r w:rsidRPr="000B39F3">
        <w:t xml:space="preserve"> Charter in Europe (1993) of the European Association of Judges, the selection of the judges should be based </w:t>
      </w:r>
      <w:r w:rsidR="00336396" w:rsidRPr="000B39F3">
        <w:t>‘</w:t>
      </w:r>
      <w:r w:rsidRPr="000B39F3">
        <w:t xml:space="preserve">on objective criteria designed to ensure professional competence. Selection must be performed by an independent </w:t>
      </w:r>
      <w:proofErr w:type="gramStart"/>
      <w:r w:rsidRPr="000B39F3">
        <w:t>body which</w:t>
      </w:r>
      <w:proofErr w:type="gramEnd"/>
      <w:r w:rsidRPr="000B39F3">
        <w:t xml:space="preserve"> represents the Judges. No outside influence and, in par</w:t>
      </w:r>
      <w:r w:rsidR="007929DA" w:rsidRPr="000B39F3">
        <w:t>ticular, no political influence</w:t>
      </w:r>
      <w:r w:rsidRPr="000B39F3">
        <w:t xml:space="preserve"> must play any part in the appointment of Judges</w:t>
      </w:r>
      <w:r w:rsidR="00336396" w:rsidRPr="000B39F3">
        <w:t>’</w:t>
      </w:r>
      <w:r w:rsidRPr="000B39F3">
        <w:t>.</w:t>
      </w:r>
      <w:r w:rsidR="00ED10DD" w:rsidRPr="000B39F3">
        <w:rPr>
          <w:rStyle w:val="FootnoteReference"/>
        </w:rPr>
        <w:footnoteReference w:id="55"/>
      </w:r>
    </w:p>
    <w:p w14:paraId="210FB62E" w14:textId="212B30C4" w:rsidR="001A1C63" w:rsidRPr="000B39F3" w:rsidRDefault="005A4A5E" w:rsidP="00C67199">
      <w:pPr>
        <w:jc w:val="both"/>
      </w:pPr>
      <w:r w:rsidRPr="000B39F3">
        <w:t xml:space="preserve">The procedure of appointment of the </w:t>
      </w:r>
      <w:r w:rsidR="00BE543F" w:rsidRPr="000B39F3">
        <w:t>member</w:t>
      </w:r>
      <w:r w:rsidRPr="000B39F3">
        <w:t>s of the Court, therefore, departs from the most common procedures implemented in national jurisdictions, which are based either on a public competition, under the supervision of a magistracy body, or on public elections. This peculiar procedure for the appointment o</w:t>
      </w:r>
      <w:r w:rsidR="007929DA" w:rsidRPr="000B39F3">
        <w:t>f European judges inspired</w:t>
      </w:r>
      <w:r w:rsidRPr="000B39F3">
        <w:t xml:space="preserve"> concerns relating to the independence of the Court.</w:t>
      </w:r>
      <w:r w:rsidRPr="000B39F3">
        <w:rPr>
          <w:rStyle w:val="FootnoteReference"/>
        </w:rPr>
        <w:footnoteReference w:id="56"/>
      </w:r>
      <w:r w:rsidR="00BE543F" w:rsidRPr="000B39F3">
        <w:t xml:space="preserve"> In fact, the first</w:t>
      </w:r>
      <w:r w:rsidRPr="000B39F3">
        <w:t xml:space="preserve"> historic accounts of the ECJ composition report that no judge or advocate general was appointed to the Court without being very close to the political establishment that selected him</w:t>
      </w:r>
      <w:bookmarkStart w:id="21" w:name="_Ref384042681"/>
      <w:r w:rsidRPr="000B39F3">
        <w:rPr>
          <w:rStyle w:val="FootnoteReference"/>
        </w:rPr>
        <w:footnoteReference w:id="57"/>
      </w:r>
      <w:bookmarkEnd w:id="21"/>
      <w:r w:rsidRPr="000B39F3">
        <w:t xml:space="preserve"> (or her, although we have to wait till 1990 to see the first female judge of the Court</w:t>
      </w:r>
      <w:r w:rsidRPr="000B39F3">
        <w:rPr>
          <w:rStyle w:val="FootnoteReference"/>
        </w:rPr>
        <w:footnoteReference w:id="58"/>
      </w:r>
      <w:r w:rsidRPr="000B39F3">
        <w:t>). Moreover, despite concerns,</w:t>
      </w:r>
      <w:r w:rsidR="00BE543F" w:rsidRPr="000B39F3">
        <w:t xml:space="preserve"> c</w:t>
      </w:r>
      <w:r w:rsidRPr="000B39F3">
        <w:t xml:space="preserve">ourt </w:t>
      </w:r>
      <w:r w:rsidR="00BE543F" w:rsidRPr="000B39F3">
        <w:t>m</w:t>
      </w:r>
      <w:r w:rsidR="00B63424" w:rsidRPr="000B39F3">
        <w:t>embers are appointed for six</w:t>
      </w:r>
      <w:r w:rsidRPr="000B39F3">
        <w:t xml:space="preserve"> years, and their mandate is freely renewable by Member States.</w:t>
      </w:r>
      <w:r w:rsidR="00DE69A1" w:rsidRPr="000B39F3">
        <w:rPr>
          <w:rStyle w:val="FootnoteReference"/>
        </w:rPr>
        <w:footnoteReference w:id="59"/>
      </w:r>
      <w:r w:rsidRPr="000B39F3">
        <w:t xml:space="preserve"> This represents </w:t>
      </w:r>
      <w:r w:rsidR="00E75BD9" w:rsidRPr="000B39F3">
        <w:t>an obvious tool</w:t>
      </w:r>
      <w:r w:rsidRPr="000B39F3">
        <w:t xml:space="preserve"> of pressure on the judge by the Member State, which is only partially balanced by the procedure providing for collegial decisions and confidentiality of dissenting opinions.</w:t>
      </w:r>
      <w:r w:rsidRPr="000B39F3">
        <w:rPr>
          <w:rStyle w:val="FootnoteReference"/>
        </w:rPr>
        <w:footnoteReference w:id="60"/>
      </w:r>
    </w:p>
    <w:p w14:paraId="72CCBEBA" w14:textId="10FA9AE2" w:rsidR="001A1C63" w:rsidRPr="000B39F3" w:rsidRDefault="005A4A5E" w:rsidP="00C67199">
      <w:pPr>
        <w:jc w:val="both"/>
      </w:pPr>
      <w:r w:rsidRPr="000B39F3">
        <w:lastRenderedPageBreak/>
        <w:t xml:space="preserve">The gradual expansion </w:t>
      </w:r>
      <w:r w:rsidR="00BE543F" w:rsidRPr="000B39F3">
        <w:t>of the Court, both in terms of m</w:t>
      </w:r>
      <w:r w:rsidRPr="000B39F3">
        <w:t xml:space="preserve">embers and competences, fuelled the debate around </w:t>
      </w:r>
      <w:r w:rsidR="000B2DCF" w:rsidRPr="000B39F3">
        <w:t>its</w:t>
      </w:r>
      <w:r w:rsidRPr="000B39F3">
        <w:t xml:space="preserve"> judicial independence, hence calling for reform of the appointment process. </w:t>
      </w:r>
      <w:proofErr w:type="gramStart"/>
      <w:r w:rsidRPr="000B39F3">
        <w:t>A special committee was created by the Article 255 of the Lisbon Treaty</w:t>
      </w:r>
      <w:proofErr w:type="gramEnd"/>
      <w:r w:rsidRPr="000B39F3">
        <w:t xml:space="preserve"> (2009).</w:t>
      </w:r>
      <w:r w:rsidRPr="000B39F3">
        <w:rPr>
          <w:rStyle w:val="FootnoteReference"/>
        </w:rPr>
        <w:footnoteReference w:id="61"/>
      </w:r>
      <w:r w:rsidRPr="000B39F3">
        <w:t xml:space="preserve"> </w:t>
      </w:r>
      <w:proofErr w:type="gramStart"/>
      <w:r w:rsidRPr="000B39F3">
        <w:t>This panel of seven members, appointed by the Council for f</w:t>
      </w:r>
      <w:r w:rsidR="00BE543F" w:rsidRPr="000B39F3">
        <w:t>our years, is formed by former m</w:t>
      </w:r>
      <w:r w:rsidRPr="000B39F3">
        <w:t>embers of the ECJ, juridical figures of the highest quality, and one member proposed by the EU Parliament</w:t>
      </w:r>
      <w:proofErr w:type="gramEnd"/>
      <w:r w:rsidRPr="000B39F3">
        <w:t>. The committee ex</w:t>
      </w:r>
      <w:r w:rsidR="00BE543F" w:rsidRPr="000B39F3">
        <w:t>amines the candidatures of new m</w:t>
      </w:r>
      <w:r w:rsidRPr="000B39F3">
        <w:t>embers as well as membership renewals, and issues a non-binding confidential opinion to the appointing Member State.</w:t>
      </w:r>
      <w:r w:rsidRPr="000B39F3">
        <w:rPr>
          <w:rStyle w:val="FootnoteReference"/>
        </w:rPr>
        <w:footnoteReference w:id="62"/>
      </w:r>
      <w:r w:rsidRPr="000B39F3">
        <w:t xml:space="preserve"> Effects of the activity of this committee on</w:t>
      </w:r>
      <w:r w:rsidR="00B63424" w:rsidRPr="000B39F3">
        <w:t xml:space="preserve"> the independence of court</w:t>
      </w:r>
      <w:r w:rsidRPr="000B39F3">
        <w:t xml:space="preserve"> member</w:t>
      </w:r>
      <w:r w:rsidR="00B63424" w:rsidRPr="000B39F3">
        <w:t>s</w:t>
      </w:r>
      <w:r w:rsidRPr="000B39F3">
        <w:t xml:space="preserve"> would need to be </w:t>
      </w:r>
      <w:r w:rsidR="00AB5B6A" w:rsidRPr="000B39F3">
        <w:t>assessed</w:t>
      </w:r>
      <w:r w:rsidRPr="000B39F3">
        <w:t xml:space="preserve"> by further research, in due course.</w:t>
      </w:r>
      <w:r w:rsidRPr="000B39F3">
        <w:rPr>
          <w:rStyle w:val="FootnoteReference"/>
        </w:rPr>
        <w:footnoteReference w:id="63"/>
      </w:r>
      <w:r w:rsidRPr="000B39F3">
        <w:t xml:space="preserve"> Meanwhile, critics of this institution suggest that </w:t>
      </w:r>
      <w:r w:rsidR="000B2DCF" w:rsidRPr="000B39F3">
        <w:t>improvements should be made in order to enhance the</w:t>
      </w:r>
      <w:r w:rsidRPr="000B39F3">
        <w:t xml:space="preserve"> impact </w:t>
      </w:r>
      <w:r w:rsidR="000B2DCF" w:rsidRPr="000B39F3">
        <w:t xml:space="preserve">of the committee </w:t>
      </w:r>
      <w:r w:rsidRPr="000B39F3">
        <w:t xml:space="preserve">on </w:t>
      </w:r>
      <w:r w:rsidR="00324F5A" w:rsidRPr="000B39F3">
        <w:t>the impartiality of the judges</w:t>
      </w:r>
      <w:r w:rsidRPr="000B39F3">
        <w:t>.</w:t>
      </w:r>
      <w:r w:rsidRPr="000B39F3">
        <w:rPr>
          <w:rStyle w:val="FootnoteReference"/>
        </w:rPr>
        <w:footnoteReference w:id="64"/>
      </w:r>
    </w:p>
    <w:p w14:paraId="33BDD25E" w14:textId="47A8E600" w:rsidR="00C25188" w:rsidRPr="000B39F3" w:rsidRDefault="005A4A5E" w:rsidP="00C67199">
      <w:pPr>
        <w:jc w:val="both"/>
      </w:pPr>
      <w:r w:rsidRPr="000B39F3">
        <w:t xml:space="preserve">The </w:t>
      </w:r>
      <w:r w:rsidR="00BE543F" w:rsidRPr="000B39F3">
        <w:t>professional background of the m</w:t>
      </w:r>
      <w:r w:rsidRPr="000B39F3">
        <w:t>embers of the European Court of Justice has been object of a limited body of research.</w:t>
      </w:r>
      <w:r w:rsidRPr="000B39F3">
        <w:rPr>
          <w:rStyle w:val="FootnoteReference"/>
        </w:rPr>
        <w:footnoteReference w:id="65"/>
      </w:r>
      <w:r w:rsidRPr="000B39F3">
        <w:t xml:space="preserve"> More recently, Antonin Cohen</w:t>
      </w:r>
      <w:bookmarkStart w:id="22" w:name="_Ref384043126"/>
      <w:r w:rsidRPr="000B39F3">
        <w:rPr>
          <w:rStyle w:val="FootnoteReference"/>
        </w:rPr>
        <w:footnoteReference w:id="66"/>
      </w:r>
      <w:bookmarkEnd w:id="22"/>
      <w:r w:rsidR="00FA14C0" w:rsidRPr="000B39F3">
        <w:t xml:space="preserve"> and Sally Kenney</w:t>
      </w:r>
      <w:bookmarkStart w:id="23" w:name="_Ref384043668"/>
      <w:r w:rsidRPr="000B39F3">
        <w:rPr>
          <w:rStyle w:val="FootnoteReference"/>
        </w:rPr>
        <w:footnoteReference w:id="67"/>
      </w:r>
      <w:bookmarkEnd w:id="23"/>
      <w:r w:rsidRPr="000B39F3">
        <w:t xml:space="preserve"> have examined the background of the </w:t>
      </w:r>
      <w:r w:rsidR="00BE543F" w:rsidRPr="000B39F3">
        <w:t>member</w:t>
      </w:r>
      <w:r w:rsidRPr="000B39F3">
        <w:t>s of the Court with a focus on their professional experience and background, as well as their career provenance.</w:t>
      </w:r>
      <w:r w:rsidRPr="000B39F3">
        <w:rPr>
          <w:rStyle w:val="FootnoteReference"/>
        </w:rPr>
        <w:footnoteReference w:id="68"/>
      </w:r>
      <w:r w:rsidR="000B2DCF" w:rsidRPr="000B39F3">
        <w:t xml:space="preserve"> All the above studies present a scenario with court member that are mainly academics in the area of community, comparative or international law, often in addition to being high members of the judiciary and high officials (or consultants) in their respective governments. </w:t>
      </w:r>
      <w:bookmarkStart w:id="24" w:name="_RefF107"/>
      <w:bookmarkEnd w:id="24"/>
    </w:p>
    <w:p w14:paraId="143C301A" w14:textId="09D4E5B3" w:rsidR="001A1C63" w:rsidRPr="000B39F3" w:rsidRDefault="00CA09A6" w:rsidP="00C67199">
      <w:pPr>
        <w:jc w:val="both"/>
      </w:pPr>
      <w:r w:rsidRPr="000B39F3">
        <w:t xml:space="preserve">We analysed </w:t>
      </w:r>
      <w:r w:rsidR="001A599A" w:rsidRPr="000B39F3">
        <w:t xml:space="preserve">the profile of </w:t>
      </w:r>
      <w:r w:rsidRPr="000B39F3">
        <w:t xml:space="preserve">all </w:t>
      </w:r>
      <w:r w:rsidR="00AB5B6A" w:rsidRPr="000B39F3">
        <w:t>45</w:t>
      </w:r>
      <w:r w:rsidR="0087380E" w:rsidRPr="000B39F3">
        <w:t xml:space="preserve"> </w:t>
      </w:r>
      <w:r w:rsidR="00BE543F" w:rsidRPr="000B39F3">
        <w:t>member</w:t>
      </w:r>
      <w:r w:rsidR="003E4DE5" w:rsidRPr="000B39F3">
        <w:t>s of the ECJ</w:t>
      </w:r>
      <w:r w:rsidR="0087380E" w:rsidRPr="000B39F3">
        <w:t xml:space="preserve"> </w:t>
      </w:r>
      <w:r w:rsidRPr="000B39F3">
        <w:t>who sat on our sample of</w:t>
      </w:r>
      <w:r w:rsidR="0087380E" w:rsidRPr="000B39F3">
        <w:t xml:space="preserve"> copyright cases, including </w:t>
      </w:r>
      <w:r w:rsidRPr="000B39F3">
        <w:t xml:space="preserve">those decided in the </w:t>
      </w:r>
      <w:r w:rsidR="0087380E" w:rsidRPr="000B39F3">
        <w:t>Grand Cha</w:t>
      </w:r>
      <w:r w:rsidR="00F8149B" w:rsidRPr="000B39F3">
        <w:t xml:space="preserve">mber, </w:t>
      </w:r>
      <w:r w:rsidR="009255C0" w:rsidRPr="000B39F3">
        <w:t xml:space="preserve">out of </w:t>
      </w:r>
      <w:r w:rsidR="00F8149B" w:rsidRPr="000B39F3">
        <w:t xml:space="preserve">a total of </w:t>
      </w:r>
      <w:r w:rsidR="00AB5B6A" w:rsidRPr="000B39F3">
        <w:t>94</w:t>
      </w:r>
      <w:r w:rsidR="0087380E" w:rsidRPr="000B39F3">
        <w:t xml:space="preserve"> Members sitting in the Court d</w:t>
      </w:r>
      <w:r w:rsidR="00474E6F" w:rsidRPr="000B39F3">
        <w:t>uring the period examin</w:t>
      </w:r>
      <w:r w:rsidR="00AB5B6A" w:rsidRPr="000B39F3">
        <w:t>ed.</w:t>
      </w:r>
    </w:p>
    <w:p w14:paraId="640E01A7" w14:textId="3A355F58" w:rsidR="001A1C63" w:rsidRPr="000B39F3" w:rsidRDefault="00364BF5" w:rsidP="00C67199">
      <w:pPr>
        <w:jc w:val="both"/>
      </w:pPr>
      <w:r w:rsidRPr="000B39F3">
        <w:t>Our</w:t>
      </w:r>
      <w:r w:rsidR="00FC517E" w:rsidRPr="000B39F3">
        <w:t xml:space="preserve"> </w:t>
      </w:r>
      <w:r w:rsidR="003E4DE5" w:rsidRPr="000B39F3">
        <w:t>analysis</w:t>
      </w:r>
      <w:r w:rsidR="005A4A5E" w:rsidRPr="000B39F3">
        <w:t xml:space="preserve"> shows a remarkable prevalence of EU Law and Public Law </w:t>
      </w:r>
      <w:r w:rsidR="003E4DE5" w:rsidRPr="000B39F3">
        <w:t xml:space="preserve">in the professional background of the </w:t>
      </w:r>
      <w:r w:rsidR="00BE543F" w:rsidRPr="000B39F3">
        <w:t>member</w:t>
      </w:r>
      <w:r w:rsidR="003E4DE5" w:rsidRPr="000B39F3">
        <w:t>s of the Court</w:t>
      </w:r>
      <w:r w:rsidR="005A4A5E" w:rsidRPr="000B39F3">
        <w:t xml:space="preserve">. </w:t>
      </w:r>
      <w:r w:rsidR="00AB542B" w:rsidRPr="000B39F3">
        <w:t>A</w:t>
      </w:r>
      <w:r w:rsidR="00221A6A" w:rsidRPr="000B39F3">
        <w:t xml:space="preserve"> </w:t>
      </w:r>
      <w:r w:rsidR="00AB542B" w:rsidRPr="000B39F3">
        <w:t>large</w:t>
      </w:r>
      <w:r w:rsidR="005A4A5E" w:rsidRPr="000B39F3">
        <w:t xml:space="preserve"> majority has performed studies or held academic positions in the field</w:t>
      </w:r>
      <w:r w:rsidR="00DD4DE8" w:rsidRPr="000B39F3">
        <w:t>s</w:t>
      </w:r>
      <w:r w:rsidR="005A4A5E" w:rsidRPr="000B39F3">
        <w:t xml:space="preserve"> of</w:t>
      </w:r>
      <w:r w:rsidR="00DD4DE8" w:rsidRPr="000B39F3">
        <w:t>:</w:t>
      </w:r>
      <w:r w:rsidR="005A4A5E" w:rsidRPr="000B39F3">
        <w:t xml:space="preserve"> Eu</w:t>
      </w:r>
      <w:r w:rsidR="00DD4DE8" w:rsidRPr="000B39F3">
        <w:t xml:space="preserve">ropean Union (or Community) Law, </w:t>
      </w:r>
      <w:r w:rsidR="005A4A5E" w:rsidRPr="000B39F3">
        <w:t>Public Administration Law, Public International Law</w:t>
      </w:r>
      <w:r w:rsidR="00DD4DE8" w:rsidRPr="000B39F3">
        <w:t>,</w:t>
      </w:r>
      <w:r w:rsidR="005A4A5E" w:rsidRPr="000B39F3">
        <w:t xml:space="preserve"> or Public European Law. A background in Constitutional Law and Human Rights is also relatively common among </w:t>
      </w:r>
      <w:r w:rsidR="00AB542B" w:rsidRPr="000B39F3">
        <w:t>ECJ</w:t>
      </w:r>
      <w:r w:rsidR="00221A6A" w:rsidRPr="000B39F3">
        <w:t xml:space="preserve"> </w:t>
      </w:r>
      <w:r w:rsidR="00BE543F" w:rsidRPr="000B39F3">
        <w:t>member</w:t>
      </w:r>
      <w:r w:rsidR="005A4A5E" w:rsidRPr="000B39F3">
        <w:t>s, also because many</w:t>
      </w:r>
      <w:r w:rsidR="00221A6A" w:rsidRPr="000B39F3">
        <w:t xml:space="preserve"> join</w:t>
      </w:r>
      <w:r w:rsidR="005A4A5E" w:rsidRPr="000B39F3">
        <w:t xml:space="preserve"> from a post in their nati</w:t>
      </w:r>
      <w:r w:rsidR="00221A6A" w:rsidRPr="000B39F3">
        <w:t>onal Constitutional Court or o</w:t>
      </w:r>
      <w:r w:rsidR="005A4A5E" w:rsidRPr="000B39F3">
        <w:t>n the European Court of Human Rights.</w:t>
      </w:r>
      <w:r w:rsidR="005A4A5E" w:rsidRPr="000B39F3">
        <w:rPr>
          <w:rStyle w:val="FootnoteReference"/>
        </w:rPr>
        <w:footnoteReference w:id="69"/>
      </w:r>
      <w:r w:rsidR="00975314" w:rsidRPr="000B39F3">
        <w:t xml:space="preserve"> Minority specialis</w:t>
      </w:r>
      <w:r w:rsidR="005A4A5E" w:rsidRPr="000B39F3">
        <w:t>ations, in relative terms, includ</w:t>
      </w:r>
      <w:r w:rsidR="000B2E0E" w:rsidRPr="000B39F3">
        <w:t>e</w:t>
      </w:r>
      <w:r w:rsidR="005A4A5E" w:rsidRPr="000B39F3">
        <w:t xml:space="preserve"> Civil Law, Criminal Law, Political Science, and Trade Law, followed by International Private Law (Conflict of Laws), Comparative Law, and Law and Economics. </w:t>
      </w:r>
      <w:proofErr w:type="gramStart"/>
      <w:r w:rsidR="005A4A5E" w:rsidRPr="000B39F3">
        <w:t xml:space="preserve">The smallest percentage in turn is represented by specialists in Family Law, </w:t>
      </w:r>
      <w:r w:rsidR="00DD4DE8" w:rsidRPr="000B39F3">
        <w:t xml:space="preserve">Tax Law, </w:t>
      </w:r>
      <w:r w:rsidR="005A4A5E" w:rsidRPr="000B39F3">
        <w:t>Competition Law, and Business Law</w:t>
      </w:r>
      <w:proofErr w:type="gramEnd"/>
      <w:r w:rsidR="005A4A5E" w:rsidRPr="000B39F3">
        <w:t xml:space="preserve">. </w:t>
      </w:r>
    </w:p>
    <w:p w14:paraId="7E3DBBC9" w14:textId="77777777" w:rsidR="00BF7E2B" w:rsidRPr="000B39F3" w:rsidRDefault="00BF7E2B" w:rsidP="00BF7E2B">
      <w:pPr>
        <w:jc w:val="center"/>
      </w:pPr>
    </w:p>
    <w:p w14:paraId="086243F4" w14:textId="29101DFD" w:rsidR="00EA7CC3" w:rsidRPr="000B39F3" w:rsidRDefault="00BF7E2B" w:rsidP="00B54309">
      <w:pPr>
        <w:jc w:val="center"/>
      </w:pPr>
      <w:r w:rsidRPr="000B39F3">
        <w:rPr>
          <w:noProof/>
          <w:lang w:val="en-US" w:eastAsia="en-US"/>
        </w:rPr>
        <w:drawing>
          <wp:inline distT="0" distB="0" distL="0" distR="0" wp14:anchorId="17B68889" wp14:editId="25402675">
            <wp:extent cx="4661535" cy="3156223"/>
            <wp:effectExtent l="25400" t="25400" r="3746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853" cy="3158470"/>
                    </a:xfrm>
                    <a:prstGeom prst="rect">
                      <a:avLst/>
                    </a:prstGeom>
                    <a:noFill/>
                    <a:ln>
                      <a:solidFill>
                        <a:schemeClr val="tx1"/>
                      </a:solidFill>
                    </a:ln>
                  </pic:spPr>
                </pic:pic>
              </a:graphicData>
            </a:graphic>
          </wp:inline>
        </w:drawing>
      </w:r>
    </w:p>
    <w:p w14:paraId="3CD5AAC7" w14:textId="6D0E67EB" w:rsidR="00EA7CC3" w:rsidRPr="001C7874" w:rsidRDefault="00B93F6B" w:rsidP="00BF7E2B">
      <w:pPr>
        <w:jc w:val="center"/>
        <w:rPr>
          <w:rFonts w:ascii="Times New Roman" w:hAnsi="Times New Roman" w:cs="Times New Roman"/>
          <w:i/>
          <w:sz w:val="24"/>
          <w:szCs w:val="24"/>
        </w:rPr>
      </w:pPr>
      <w:r w:rsidRPr="001C7874">
        <w:rPr>
          <w:rFonts w:ascii="Times New Roman" w:hAnsi="Times New Roman" w:cs="Times New Roman"/>
          <w:i/>
          <w:sz w:val="24"/>
          <w:szCs w:val="24"/>
        </w:rPr>
        <w:t xml:space="preserve">Figure 5 – </w:t>
      </w:r>
      <w:r w:rsidR="00B60D27" w:rsidRPr="001C7874">
        <w:rPr>
          <w:rFonts w:ascii="Times New Roman" w:hAnsi="Times New Roman" w:cs="Times New Roman"/>
          <w:i/>
          <w:sz w:val="24"/>
          <w:szCs w:val="24"/>
        </w:rPr>
        <w:t>Main b</w:t>
      </w:r>
      <w:r w:rsidRPr="001C7874">
        <w:rPr>
          <w:rFonts w:ascii="Times New Roman" w:hAnsi="Times New Roman" w:cs="Times New Roman"/>
          <w:i/>
          <w:sz w:val="24"/>
          <w:szCs w:val="24"/>
        </w:rPr>
        <w:t xml:space="preserve">ackground of Members by </w:t>
      </w:r>
      <w:r w:rsidR="00531816" w:rsidRPr="001C7874">
        <w:rPr>
          <w:rFonts w:ascii="Times New Roman" w:hAnsi="Times New Roman" w:cs="Times New Roman"/>
          <w:i/>
          <w:sz w:val="24"/>
          <w:szCs w:val="24"/>
        </w:rPr>
        <w:t>specialist area of law</w:t>
      </w:r>
    </w:p>
    <w:p w14:paraId="2C977AD4" w14:textId="77777777" w:rsidR="00221A6A" w:rsidRPr="000B39F3" w:rsidRDefault="00221A6A" w:rsidP="00C67199">
      <w:pPr>
        <w:jc w:val="both"/>
      </w:pPr>
    </w:p>
    <w:p w14:paraId="6C05648A" w14:textId="77777777" w:rsidR="001A1C63" w:rsidRPr="000B39F3" w:rsidRDefault="005A4A5E" w:rsidP="00C67199">
      <w:pPr>
        <w:jc w:val="both"/>
      </w:pPr>
      <w:r w:rsidRPr="000B39F3">
        <w:t xml:space="preserve">Most of the ECJ members, as expected, have composite careers, featuring academic positions alongside juridical professions and governmental posts. We have </w:t>
      </w:r>
      <w:r w:rsidR="00F146CF" w:rsidRPr="000B39F3">
        <w:t xml:space="preserve">stratified </w:t>
      </w:r>
      <w:r w:rsidRPr="000B39F3">
        <w:t xml:space="preserve">the sample in four main profiles, which seem to remain the leading careers of the </w:t>
      </w:r>
      <w:r w:rsidR="00BE543F" w:rsidRPr="000B39F3">
        <w:t>member</w:t>
      </w:r>
      <w:r w:rsidRPr="000B39F3">
        <w:t>s of the European Court since its inception:</w:t>
      </w:r>
      <w:r w:rsidRPr="000B39F3">
        <w:rPr>
          <w:rStyle w:val="FootnoteReference"/>
        </w:rPr>
        <w:footnoteReference w:id="70"/>
      </w:r>
      <w:r w:rsidRPr="000B39F3">
        <w:t xml:space="preserve"> a) Academics; b) Judiciary; c) Lawyers (including public prosecutors); d) Public Administration (including consultancy appointments). First we have calculated the recurrence of each of the above profiles in the career of each </w:t>
      </w:r>
      <w:r w:rsidR="00BE543F" w:rsidRPr="000B39F3">
        <w:t>member</w:t>
      </w:r>
      <w:r w:rsidRPr="000B39F3">
        <w:t xml:space="preserve">, therefore including several profiles in each career. Secondly we have attempted to identify the prevailing profile in each career, in order to compute each </w:t>
      </w:r>
      <w:r w:rsidR="00BE543F" w:rsidRPr="000B39F3">
        <w:t>member</w:t>
      </w:r>
      <w:r w:rsidRPr="000B39F3">
        <w:t xml:space="preserve"> for his main professional background. We also have considered the economic </w:t>
      </w:r>
      <w:r w:rsidR="00F146CF" w:rsidRPr="000B39F3">
        <w:t xml:space="preserve">expertise </w:t>
      </w:r>
      <w:r w:rsidRPr="000B39F3">
        <w:t xml:space="preserve">of each </w:t>
      </w:r>
      <w:r w:rsidR="00BE543F" w:rsidRPr="000B39F3">
        <w:t>member</w:t>
      </w:r>
      <w:r w:rsidRPr="000B39F3">
        <w:rPr>
          <w:rStyle w:val="FootnoteReference"/>
        </w:rPr>
        <w:footnoteReference w:id="71"/>
      </w:r>
      <w:r w:rsidR="005313E1" w:rsidRPr="000B39F3">
        <w:t>,</w:t>
      </w:r>
      <w:r w:rsidRPr="000B39F3">
        <w:t xml:space="preserve"> and their provenance from another international or European institution</w:t>
      </w:r>
      <w:r w:rsidR="00E6100A" w:rsidRPr="000B39F3">
        <w:rPr>
          <w:rStyle w:val="FootnoteReference"/>
        </w:rPr>
        <w:footnoteReference w:id="72"/>
      </w:r>
      <w:r w:rsidR="008F06A3" w:rsidRPr="000B39F3">
        <w:t>.</w:t>
      </w:r>
    </w:p>
    <w:p w14:paraId="25EEF094" w14:textId="46AFD7E0" w:rsidR="001A1C63" w:rsidRPr="000B39F3" w:rsidRDefault="005A4A5E" w:rsidP="00C67199">
      <w:pPr>
        <w:jc w:val="both"/>
      </w:pPr>
      <w:r w:rsidRPr="000B39F3">
        <w:t xml:space="preserve">The analysis indicates that the majority of ECJ </w:t>
      </w:r>
      <w:r w:rsidR="00BE543F" w:rsidRPr="000B39F3">
        <w:t>member</w:t>
      </w:r>
      <w:r w:rsidRPr="000B39F3">
        <w:t xml:space="preserve">s have held academic posts at some stage in their career. Most of these </w:t>
      </w:r>
      <w:r w:rsidR="00BE543F" w:rsidRPr="000B39F3">
        <w:t>member</w:t>
      </w:r>
      <w:r w:rsidRPr="000B39F3">
        <w:t>s are university professors, but some are part-</w:t>
      </w:r>
      <w:r w:rsidR="00F146CF" w:rsidRPr="000B39F3">
        <w:t>t</w:t>
      </w:r>
      <w:r w:rsidRPr="000B39F3">
        <w:t xml:space="preserve">ime lecturer or researchers in addition to their main </w:t>
      </w:r>
      <w:r w:rsidR="003D71D7" w:rsidRPr="000B39F3">
        <w:t>(non-academic) career</w:t>
      </w:r>
      <w:r w:rsidRPr="000B39F3">
        <w:t xml:space="preserve">. </w:t>
      </w:r>
      <w:r w:rsidR="0087577B" w:rsidRPr="000B39F3">
        <w:t>The majority of</w:t>
      </w:r>
      <w:r w:rsidRPr="000B39F3">
        <w:t xml:space="preserve"> the </w:t>
      </w:r>
      <w:r w:rsidR="0087577B" w:rsidRPr="000B39F3">
        <w:t>members</w:t>
      </w:r>
      <w:r w:rsidR="00221A6A" w:rsidRPr="000B39F3">
        <w:t xml:space="preserve"> </w:t>
      </w:r>
      <w:r w:rsidR="0087577B" w:rsidRPr="000B39F3">
        <w:t>have</w:t>
      </w:r>
      <w:r w:rsidRPr="000B39F3">
        <w:t xml:space="preserve"> also held posts within their </w:t>
      </w:r>
      <w:r w:rsidR="0087577B" w:rsidRPr="000B39F3">
        <w:t>home</w:t>
      </w:r>
      <w:r w:rsidRPr="000B39F3">
        <w:t xml:space="preserve"> public administration, often as a consultant of the government, but mainly as a civil servant for </w:t>
      </w:r>
      <w:r w:rsidR="00221A6A" w:rsidRPr="000B39F3">
        <w:t>a</w:t>
      </w:r>
      <w:r w:rsidRPr="000B39F3">
        <w:t xml:space="preserve"> ministry or public institution. A similar share of the </w:t>
      </w:r>
      <w:r w:rsidR="0087577B" w:rsidRPr="000B39F3">
        <w:t>sample</w:t>
      </w:r>
      <w:r w:rsidRPr="000B39F3">
        <w:t xml:space="preserve"> has occupied a post in another international institution before being appointed to the Court. The European Court of Human Rights </w:t>
      </w:r>
      <w:r w:rsidR="001A599A" w:rsidRPr="000B39F3">
        <w:t xml:space="preserve">(ECHR) </w:t>
      </w:r>
      <w:r w:rsidRPr="000B39F3">
        <w:t xml:space="preserve">seems to be the </w:t>
      </w:r>
      <w:r w:rsidR="001A599A" w:rsidRPr="000B39F3">
        <w:t>largest</w:t>
      </w:r>
      <w:r w:rsidRPr="000B39F3">
        <w:t xml:space="preserve"> </w:t>
      </w:r>
      <w:r w:rsidR="00221A6A" w:rsidRPr="000B39F3">
        <w:t>feeder</w:t>
      </w:r>
      <w:r w:rsidRPr="000B39F3">
        <w:t xml:space="preserve"> of </w:t>
      </w:r>
      <w:r w:rsidR="00BE543F" w:rsidRPr="000B39F3">
        <w:t>member</w:t>
      </w:r>
      <w:r w:rsidR="00221A6A" w:rsidRPr="000B39F3">
        <w:t>s to</w:t>
      </w:r>
      <w:r w:rsidRPr="000B39F3">
        <w:t xml:space="preserve"> the ECJ. However, a </w:t>
      </w:r>
      <w:r w:rsidR="00221A6A" w:rsidRPr="000B39F3">
        <w:t>considerable</w:t>
      </w:r>
      <w:r w:rsidRPr="000B39F3">
        <w:t xml:space="preserve"> share of </w:t>
      </w:r>
      <w:r w:rsidR="00BE543F" w:rsidRPr="000B39F3">
        <w:t>member</w:t>
      </w:r>
      <w:r w:rsidRPr="000B39F3">
        <w:t>s comes from the Court itself, as previous judges of the General Court, or legal clerks (</w:t>
      </w:r>
      <w:proofErr w:type="spellStart"/>
      <w:r w:rsidRPr="000B39F3">
        <w:rPr>
          <w:i/>
        </w:rPr>
        <w:t>référendaires</w:t>
      </w:r>
      <w:proofErr w:type="spellEnd"/>
      <w:r w:rsidR="001A599A" w:rsidRPr="000B39F3">
        <w:t>) at the ECJ or</w:t>
      </w:r>
      <w:r w:rsidR="00221A6A" w:rsidRPr="000B39F3">
        <w:t xml:space="preserve"> as</w:t>
      </w:r>
      <w:r w:rsidR="001A599A" w:rsidRPr="000B39F3">
        <w:t xml:space="preserve"> Advocate</w:t>
      </w:r>
      <w:r w:rsidRPr="000B39F3">
        <w:t xml:space="preserve"> General. </w:t>
      </w:r>
      <w:r w:rsidR="00221A6A" w:rsidRPr="000B39F3">
        <w:t>O</w:t>
      </w:r>
      <w:r w:rsidRPr="000B39F3">
        <w:t xml:space="preserve">ther </w:t>
      </w:r>
      <w:r w:rsidR="00BE543F" w:rsidRPr="000B39F3">
        <w:t>member</w:t>
      </w:r>
      <w:r w:rsidR="00221A6A" w:rsidRPr="000B39F3">
        <w:t>s join</w:t>
      </w:r>
      <w:r w:rsidRPr="000B39F3">
        <w:t xml:space="preserve"> from EU institutions (Commission</w:t>
      </w:r>
      <w:r w:rsidR="00A74623" w:rsidRPr="000B39F3">
        <w:t>,</w:t>
      </w:r>
      <w:r w:rsidRPr="000B39F3">
        <w:t xml:space="preserve"> Council and Parliament), or from delegations to the EU institutions, or from advisory bodies to the EU institutions</w:t>
      </w:r>
      <w:r w:rsidR="00DD4DE8" w:rsidRPr="000B39F3">
        <w:t xml:space="preserve">. One </w:t>
      </w:r>
      <w:r w:rsidR="00BE543F" w:rsidRPr="000B39F3">
        <w:t>member</w:t>
      </w:r>
      <w:r w:rsidR="00DD4DE8" w:rsidRPr="000B39F3">
        <w:t xml:space="preserve"> comes</w:t>
      </w:r>
      <w:r w:rsidR="005B4B3A" w:rsidRPr="000B39F3">
        <w:t xml:space="preserve"> from</w:t>
      </w:r>
      <w:r w:rsidR="00DD4DE8" w:rsidRPr="000B39F3">
        <w:t xml:space="preserve"> a</w:t>
      </w:r>
      <w:r w:rsidRPr="000B39F3">
        <w:t xml:space="preserve"> European agency (Europol). </w:t>
      </w:r>
    </w:p>
    <w:p w14:paraId="2BD70EDD" w14:textId="6C1A1E59" w:rsidR="00BC225C" w:rsidRPr="000B39F3" w:rsidRDefault="005A4A5E" w:rsidP="00C47571">
      <w:pPr>
        <w:jc w:val="both"/>
      </w:pPr>
      <w:r w:rsidRPr="000B39F3">
        <w:lastRenderedPageBreak/>
        <w:t xml:space="preserve">More than half of </w:t>
      </w:r>
      <w:r w:rsidR="00FA14C0" w:rsidRPr="000B39F3">
        <w:t xml:space="preserve">the examined </w:t>
      </w:r>
      <w:r w:rsidR="00BE543F" w:rsidRPr="000B39F3">
        <w:t>member</w:t>
      </w:r>
      <w:r w:rsidR="002272FD" w:rsidRPr="000B39F3">
        <w:t xml:space="preserve">s of </w:t>
      </w:r>
      <w:r w:rsidRPr="000B39F3">
        <w:t xml:space="preserve">the Court of Justice </w:t>
      </w:r>
      <w:r w:rsidR="003D71D7" w:rsidRPr="000B39F3">
        <w:t>had served at some point of their career</w:t>
      </w:r>
      <w:r w:rsidRPr="000B39F3">
        <w:t xml:space="preserve"> in their national judiciary, often at the highest level (Constitutional Court, Highest Court, or A</w:t>
      </w:r>
      <w:r w:rsidR="00151ABF" w:rsidRPr="000B39F3">
        <w:t xml:space="preserve">dministrative Highest Court). Only </w:t>
      </w:r>
      <w:r w:rsidR="002272FD" w:rsidRPr="000B39F3">
        <w:t>seven</w:t>
      </w:r>
      <w:r w:rsidR="00151ABF" w:rsidRPr="000B39F3">
        <w:t xml:space="preserve"> per cent have worked in</w:t>
      </w:r>
      <w:r w:rsidRPr="000B39F3">
        <w:t xml:space="preserve"> legal practice, either in ordinary courts or administrative tribunals.  </w:t>
      </w:r>
    </w:p>
    <w:p w14:paraId="74620488" w14:textId="4ABA65F5" w:rsidR="003C2813" w:rsidRPr="000B39F3" w:rsidRDefault="00C47571" w:rsidP="003C2813">
      <w:pPr>
        <w:jc w:val="center"/>
      </w:pPr>
      <w:r w:rsidRPr="000B39F3">
        <w:rPr>
          <w:noProof/>
          <w:lang w:val="en-US" w:eastAsia="en-US"/>
        </w:rPr>
        <w:drawing>
          <wp:inline distT="0" distB="0" distL="0" distR="0" wp14:anchorId="13CA860B" wp14:editId="478022C1">
            <wp:extent cx="4614897" cy="3461173"/>
            <wp:effectExtent l="25400" t="25400" r="33655" b="1905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5484" cy="3461613"/>
                    </a:xfrm>
                    <a:prstGeom prst="rect">
                      <a:avLst/>
                    </a:prstGeom>
                    <a:noFill/>
                    <a:ln>
                      <a:solidFill>
                        <a:schemeClr val="tx1"/>
                      </a:solidFill>
                    </a:ln>
                  </pic:spPr>
                </pic:pic>
              </a:graphicData>
            </a:graphic>
          </wp:inline>
        </w:drawing>
      </w:r>
    </w:p>
    <w:p w14:paraId="6F54C3D9" w14:textId="765C7585" w:rsidR="009A0C04" w:rsidRPr="000B39F3" w:rsidRDefault="003C2813" w:rsidP="009A0C04">
      <w:pPr>
        <w:pStyle w:val="Caption"/>
        <w:framePr w:hSpace="180" w:wrap="around" w:vAnchor="text" w:hAnchor="text" w:xAlign="center" w:y="1"/>
        <w:suppressOverlap/>
      </w:pPr>
      <w:r w:rsidRPr="000B39F3">
        <w:t>Figure</w:t>
      </w:r>
      <w:r w:rsidR="0060474F" w:rsidRPr="000B39F3">
        <w:t xml:space="preserve"> </w:t>
      </w:r>
      <w:r w:rsidR="00096DAD">
        <w:t>6</w:t>
      </w:r>
      <w:r w:rsidR="001A599A" w:rsidRPr="000B39F3">
        <w:t xml:space="preserve"> –</w:t>
      </w:r>
      <w:r w:rsidR="00730ECC" w:rsidRPr="000B39F3">
        <w:t xml:space="preserve"> </w:t>
      </w:r>
      <w:r w:rsidR="00C47571" w:rsidRPr="000B39F3">
        <w:t>Main c</w:t>
      </w:r>
      <w:r w:rsidR="00F0370D" w:rsidRPr="000B39F3">
        <w:t>areer</w:t>
      </w:r>
      <w:r w:rsidR="009A0C04" w:rsidRPr="000B39F3">
        <w:t xml:space="preserve"> background</w:t>
      </w:r>
      <w:r w:rsidR="0060474F" w:rsidRPr="000B39F3">
        <w:t xml:space="preserve"> </w:t>
      </w:r>
      <w:r w:rsidR="0003047A" w:rsidRPr="000B39F3">
        <w:t xml:space="preserve">of </w:t>
      </w:r>
      <w:r w:rsidR="00F0370D" w:rsidRPr="000B39F3">
        <w:t>Court Members</w:t>
      </w:r>
      <w:r w:rsidR="004F0306" w:rsidRPr="000B39F3">
        <w:t xml:space="preserve"> sitting on </w:t>
      </w:r>
      <w:r w:rsidR="009A0C04" w:rsidRPr="000B39F3">
        <w:t>copyright cases</w:t>
      </w:r>
    </w:p>
    <w:p w14:paraId="0D11C84C" w14:textId="77777777" w:rsidR="00BF7E2B" w:rsidRPr="000B39F3" w:rsidRDefault="00BF7E2B" w:rsidP="00F0370D">
      <w:pPr>
        <w:keepNext/>
        <w:jc w:val="center"/>
        <w:rPr>
          <w:i/>
          <w:sz w:val="18"/>
          <w:szCs w:val="18"/>
        </w:rPr>
      </w:pPr>
    </w:p>
    <w:p w14:paraId="21EA5225" w14:textId="252ECE77" w:rsidR="00F0370D" w:rsidRPr="000B39F3" w:rsidRDefault="001E1BFF" w:rsidP="00F0370D">
      <w:pPr>
        <w:keepNext/>
        <w:jc w:val="center"/>
      </w:pPr>
      <w:r w:rsidRPr="000B39F3">
        <w:rPr>
          <w:i/>
          <w:sz w:val="18"/>
          <w:szCs w:val="18"/>
        </w:rPr>
        <w:br w:type="textWrapping" w:clear="all"/>
      </w:r>
      <w:r w:rsidR="00B54309" w:rsidRPr="000B39F3">
        <w:rPr>
          <w:noProof/>
          <w:lang w:val="en-US" w:eastAsia="en-US"/>
        </w:rPr>
        <w:drawing>
          <wp:inline distT="0" distB="0" distL="0" distR="0" wp14:anchorId="0FB37F4E" wp14:editId="74277F2B">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5E2817" w14:textId="564CE883" w:rsidR="00F146CF" w:rsidRPr="000B39F3" w:rsidRDefault="00F0370D" w:rsidP="00F0370D">
      <w:pPr>
        <w:pStyle w:val="Caption"/>
        <w:jc w:val="center"/>
      </w:pPr>
      <w:r w:rsidRPr="000B39F3">
        <w:t xml:space="preserve">Figure </w:t>
      </w:r>
      <w:r w:rsidR="00096DAD">
        <w:t>7</w:t>
      </w:r>
      <w:r w:rsidR="001A599A" w:rsidRPr="000B39F3">
        <w:t xml:space="preserve"> –</w:t>
      </w:r>
      <w:r w:rsidRPr="000B39F3">
        <w:t xml:space="preserve"> Provenance of Court Members sitting on copyright cases</w:t>
      </w:r>
    </w:p>
    <w:p w14:paraId="7834BB3E" w14:textId="77777777" w:rsidR="00F0370D" w:rsidRPr="000B39F3" w:rsidRDefault="00F0370D" w:rsidP="00F0370D">
      <w:pPr>
        <w:pStyle w:val="Caption"/>
        <w:jc w:val="center"/>
        <w:rPr>
          <w:i w:val="0"/>
          <w:sz w:val="18"/>
          <w:szCs w:val="18"/>
        </w:rPr>
      </w:pPr>
    </w:p>
    <w:p w14:paraId="1A001EE7" w14:textId="5E1D72C3" w:rsidR="001A1C63" w:rsidRPr="000B39F3" w:rsidRDefault="005A4A5E" w:rsidP="00C67199">
      <w:pPr>
        <w:jc w:val="both"/>
      </w:pPr>
      <w:r w:rsidRPr="000B39F3">
        <w:t>The exam</w:t>
      </w:r>
      <w:r w:rsidR="00BD420E" w:rsidRPr="000B39F3">
        <w:t>ination</w:t>
      </w:r>
      <w:r w:rsidRPr="000B39F3">
        <w:t xml:space="preserve"> of the </w:t>
      </w:r>
      <w:r w:rsidRPr="000B39F3">
        <w:rPr>
          <w:i/>
        </w:rPr>
        <w:t>main</w:t>
      </w:r>
      <w:r w:rsidRPr="000B39F3">
        <w:t xml:space="preserve"> careers of the </w:t>
      </w:r>
      <w:r w:rsidR="00BE543F" w:rsidRPr="000B39F3">
        <w:t>member</w:t>
      </w:r>
      <w:r w:rsidRPr="000B39F3">
        <w:t>s suggests a bal</w:t>
      </w:r>
      <w:r w:rsidR="005B4B3A" w:rsidRPr="000B39F3">
        <w:t xml:space="preserve">ance </w:t>
      </w:r>
      <w:r w:rsidR="00BD420E" w:rsidRPr="000B39F3">
        <w:t>between J</w:t>
      </w:r>
      <w:r w:rsidR="005B4B3A" w:rsidRPr="000B39F3">
        <w:t>udiciary,</w:t>
      </w:r>
      <w:r w:rsidR="00BD420E" w:rsidRPr="000B39F3">
        <w:t xml:space="preserve"> Academe and P</w:t>
      </w:r>
      <w:r w:rsidRPr="000B39F3">
        <w:t>ublic Administration, with a moderate p</w:t>
      </w:r>
      <w:r w:rsidR="00BD420E" w:rsidRPr="000B39F3">
        <w:t>revalence of the latter. Only a minority has been</w:t>
      </w:r>
      <w:r w:rsidR="002272FD" w:rsidRPr="000B39F3">
        <w:t xml:space="preserve"> </w:t>
      </w:r>
      <w:r w:rsidR="00EA5ED3" w:rsidRPr="000B39F3">
        <w:t>shaped</w:t>
      </w:r>
      <w:r w:rsidR="00BD420E" w:rsidRPr="000B39F3">
        <w:t xml:space="preserve"> by </w:t>
      </w:r>
      <w:r w:rsidR="00EA5ED3" w:rsidRPr="000B39F3">
        <w:t xml:space="preserve">legal </w:t>
      </w:r>
      <w:r w:rsidR="00BD420E" w:rsidRPr="000B39F3">
        <w:t>practice</w:t>
      </w:r>
      <w:r w:rsidRPr="000B39F3">
        <w:t xml:space="preserve">. It is interesting to note that a sizeable share of the sample has some background or experience in </w:t>
      </w:r>
      <w:r w:rsidRPr="000B39F3">
        <w:lastRenderedPageBreak/>
        <w:t>economic matters. This is consistent with the findings of previous research on the Court</w:t>
      </w:r>
      <w:r w:rsidR="00336396" w:rsidRPr="000B39F3">
        <w:t>’</w:t>
      </w:r>
      <w:r w:rsidRPr="000B39F3">
        <w:t>s membership.</w:t>
      </w:r>
      <w:r w:rsidRPr="000B39F3">
        <w:rPr>
          <w:rStyle w:val="FootnoteReference"/>
        </w:rPr>
        <w:footnoteReference w:id="73"/>
      </w:r>
      <w:r w:rsidR="002272FD" w:rsidRPr="000B39F3">
        <w:t xml:space="preserve"> </w:t>
      </w:r>
      <w:r w:rsidRPr="000B39F3">
        <w:t xml:space="preserve">In fact, starting with the famous Jacques </w:t>
      </w:r>
      <w:proofErr w:type="spellStart"/>
      <w:r w:rsidRPr="000B39F3">
        <w:t>Rueff</w:t>
      </w:r>
      <w:proofErr w:type="spellEnd"/>
      <w:r w:rsidRPr="000B39F3">
        <w:t>,</w:t>
      </w:r>
      <w:r w:rsidRPr="000B39F3">
        <w:rPr>
          <w:rStyle w:val="FootnoteReference"/>
        </w:rPr>
        <w:footnoteReference w:id="74"/>
      </w:r>
      <w:r w:rsidRPr="000B39F3">
        <w:t xml:space="preserve"> economic </w:t>
      </w:r>
      <w:r w:rsidR="00B52E55" w:rsidRPr="000B39F3">
        <w:t xml:space="preserve">expertise </w:t>
      </w:r>
      <w:r w:rsidRPr="000B39F3">
        <w:t xml:space="preserve">seems to remain stable among </w:t>
      </w:r>
      <w:r w:rsidR="00BE543F" w:rsidRPr="000B39F3">
        <w:t>member</w:t>
      </w:r>
      <w:r w:rsidRPr="000B39F3">
        <w:t>s of the ECJ.</w:t>
      </w:r>
    </w:p>
    <w:p w14:paraId="11AE549E" w14:textId="2B535D97" w:rsidR="001A1C63" w:rsidRPr="000B39F3" w:rsidRDefault="002272FD" w:rsidP="00C67199">
      <w:pPr>
        <w:jc w:val="both"/>
      </w:pPr>
      <w:r w:rsidRPr="000B39F3">
        <w:t>A</w:t>
      </w:r>
      <w:r w:rsidR="005A4A5E" w:rsidRPr="000B39F3">
        <w:t xml:space="preserve">lthough our data is </w:t>
      </w:r>
      <w:r w:rsidRPr="000B39F3">
        <w:t xml:space="preserve">derived only from </w:t>
      </w:r>
      <w:r w:rsidR="005A4A5E" w:rsidRPr="000B39F3">
        <w:t xml:space="preserve">the Court </w:t>
      </w:r>
      <w:r w:rsidR="00BE543F" w:rsidRPr="000B39F3">
        <w:t>member</w:t>
      </w:r>
      <w:r w:rsidRPr="000B39F3">
        <w:t>s</w:t>
      </w:r>
      <w:r w:rsidR="005A4A5E" w:rsidRPr="000B39F3">
        <w:t xml:space="preserve"> involved in copyright cases, the si</w:t>
      </w:r>
      <w:r w:rsidR="0072603D" w:rsidRPr="000B39F3">
        <w:t>ze of the sample gives an indication</w:t>
      </w:r>
      <w:r w:rsidR="005A4A5E" w:rsidRPr="000B39F3">
        <w:t xml:space="preserve"> of the general composition of the </w:t>
      </w:r>
      <w:r w:rsidR="0013625C" w:rsidRPr="000B39F3">
        <w:t xml:space="preserve">European </w:t>
      </w:r>
      <w:r w:rsidR="005A4A5E" w:rsidRPr="000B39F3">
        <w:t>Court</w:t>
      </w:r>
      <w:r w:rsidR="0013625C" w:rsidRPr="000B39F3">
        <w:t xml:space="preserve"> of Justice</w:t>
      </w:r>
      <w:r w:rsidR="003F1CFF" w:rsidRPr="000B39F3">
        <w:t xml:space="preserve">, and </w:t>
      </w:r>
      <w:r w:rsidR="005A4A5E" w:rsidRPr="000B39F3">
        <w:t>findings</w:t>
      </w:r>
      <w:r w:rsidR="0072603D" w:rsidRPr="000B39F3">
        <w:t xml:space="preserve"> appear to be in line with </w:t>
      </w:r>
      <w:r w:rsidR="00AE5E31" w:rsidRPr="000B39F3">
        <w:t>previous</w:t>
      </w:r>
      <w:r w:rsidR="0072603D" w:rsidRPr="000B39F3">
        <w:t xml:space="preserve"> research</w:t>
      </w:r>
      <w:r w:rsidR="005A4A5E" w:rsidRPr="000B39F3">
        <w:t xml:space="preserve">. It seems that the prevalence of academic, judiciary and public administration background </w:t>
      </w:r>
      <w:r w:rsidR="00B52E55" w:rsidRPr="000B39F3">
        <w:t xml:space="preserve">still </w:t>
      </w:r>
      <w:r w:rsidR="005A4A5E" w:rsidRPr="000B39F3">
        <w:t>h</w:t>
      </w:r>
      <w:r w:rsidR="003A6C58" w:rsidRPr="000B39F3">
        <w:t xml:space="preserve">olds, despite considerable </w:t>
      </w:r>
      <w:r w:rsidR="005A4A5E" w:rsidRPr="000B39F3">
        <w:t xml:space="preserve">enlargement of the EU and despite the </w:t>
      </w:r>
      <w:r w:rsidR="00B64050" w:rsidRPr="000B39F3">
        <w:t>resulting</w:t>
      </w:r>
      <w:r w:rsidR="005A4A5E" w:rsidRPr="000B39F3">
        <w:t xml:space="preserve"> gro</w:t>
      </w:r>
      <w:r w:rsidR="00485E5E" w:rsidRPr="000B39F3">
        <w:t>wing membership of the Court. A</w:t>
      </w:r>
      <w:r w:rsidR="005A4A5E" w:rsidRPr="000B39F3">
        <w:t xml:space="preserve"> European/Public legal background </w:t>
      </w:r>
      <w:r w:rsidR="00633EB6" w:rsidRPr="000B39F3">
        <w:t>is</w:t>
      </w:r>
      <w:r w:rsidR="005A4A5E" w:rsidRPr="000B39F3">
        <w:t xml:space="preserve"> still paramount within the Court, while speciali</w:t>
      </w:r>
      <w:r w:rsidR="00975314" w:rsidRPr="000B39F3">
        <w:t>s</w:t>
      </w:r>
      <w:r w:rsidR="005A4A5E" w:rsidRPr="000B39F3">
        <w:t xml:space="preserve">ed </w:t>
      </w:r>
      <w:proofErr w:type="gramStart"/>
      <w:r w:rsidR="005A4A5E" w:rsidRPr="000B39F3">
        <w:t>subj</w:t>
      </w:r>
      <w:r w:rsidR="00485E5E" w:rsidRPr="000B39F3">
        <w:t>ect-matters</w:t>
      </w:r>
      <w:proofErr w:type="gramEnd"/>
      <w:r w:rsidR="00485E5E" w:rsidRPr="000B39F3">
        <w:t xml:space="preserve"> such as </w:t>
      </w:r>
      <w:r w:rsidR="005A4A5E" w:rsidRPr="000B39F3">
        <w:t xml:space="preserve">employment law and </w:t>
      </w:r>
      <w:r w:rsidR="00B52E55" w:rsidRPr="000B39F3">
        <w:t xml:space="preserve">intellectual property </w:t>
      </w:r>
      <w:r w:rsidR="00B64050" w:rsidRPr="000B39F3">
        <w:t xml:space="preserve">law could not be identified </w:t>
      </w:r>
      <w:r w:rsidR="005A4A5E" w:rsidRPr="000B39F3">
        <w:t xml:space="preserve">in any of the examined professional profiles. </w:t>
      </w:r>
    </w:p>
    <w:p w14:paraId="67F0FCED" w14:textId="5083BF81" w:rsidR="001A1C63" w:rsidRPr="000B39F3" w:rsidRDefault="00DF6E74" w:rsidP="00C67199">
      <w:pPr>
        <w:jc w:val="both"/>
      </w:pPr>
      <w:r w:rsidRPr="000B39F3">
        <w:t xml:space="preserve">One variation to </w:t>
      </w:r>
      <w:r w:rsidR="005A4A5E" w:rsidRPr="000B39F3">
        <w:t xml:space="preserve">previous research relates to the </w:t>
      </w:r>
      <w:r w:rsidR="00AF392E" w:rsidRPr="000B39F3">
        <w:t>movement in personnel</w:t>
      </w:r>
      <w:r w:rsidR="005A4A5E" w:rsidRPr="000B39F3">
        <w:t xml:space="preserve"> between international/European courts and ot</w:t>
      </w:r>
      <w:r w:rsidR="00AF392E" w:rsidRPr="000B39F3">
        <w:t>her European institutions. P</w:t>
      </w:r>
      <w:r w:rsidR="005A4A5E" w:rsidRPr="000B39F3">
        <w:t xml:space="preserve">rovenance from the European </w:t>
      </w:r>
      <w:r w:rsidR="00B52E55" w:rsidRPr="000B39F3">
        <w:t>C</w:t>
      </w:r>
      <w:r w:rsidR="005A4A5E" w:rsidRPr="000B39F3">
        <w:t>ourt of Human Rights or from other European institutions seems to be more relevant now than in the past. This is arguably due the increasing number of courts, of courts</w:t>
      </w:r>
      <w:r w:rsidR="00336396" w:rsidRPr="000B39F3">
        <w:t>’</w:t>
      </w:r>
      <w:r w:rsidR="005A4A5E" w:rsidRPr="000B39F3">
        <w:t xml:space="preserve"> members, and more generally of personnel within the EU institutions. An arguable consequence of this </w:t>
      </w:r>
      <w:r w:rsidR="00336396" w:rsidRPr="000B39F3">
        <w:t>‘</w:t>
      </w:r>
      <w:r w:rsidR="005A4A5E" w:rsidRPr="000B39F3">
        <w:t>internal circulation</w:t>
      </w:r>
      <w:r w:rsidR="00336396" w:rsidRPr="000B39F3">
        <w:t>’</w:t>
      </w:r>
      <w:r w:rsidR="005A4A5E" w:rsidRPr="000B39F3">
        <w:t xml:space="preserve"> </w:t>
      </w:r>
      <w:r w:rsidR="00AF392E" w:rsidRPr="000B39F3">
        <w:t>might</w:t>
      </w:r>
      <w:r w:rsidR="005A4A5E" w:rsidRPr="000B39F3">
        <w:t xml:space="preserve"> be that professional backgrounds remain anchored to EU/Public administ</w:t>
      </w:r>
      <w:r w:rsidR="00AF392E" w:rsidRPr="000B39F3">
        <w:t>ration competences rather than</w:t>
      </w:r>
      <w:r w:rsidR="005A4A5E" w:rsidRPr="000B39F3">
        <w:t xml:space="preserve"> the specialised competences that would be more in </w:t>
      </w:r>
      <w:r w:rsidR="00D201C5" w:rsidRPr="000B39F3">
        <w:t>line</w:t>
      </w:r>
      <w:r w:rsidR="005A4A5E" w:rsidRPr="000B39F3">
        <w:t xml:space="preserve"> with the current jurisdiction of the Court.</w:t>
      </w:r>
    </w:p>
    <w:p w14:paraId="2323ED89" w14:textId="7EC017F9" w:rsidR="001A1C63" w:rsidRPr="000B39F3" w:rsidRDefault="005A4A5E" w:rsidP="00C67199">
      <w:pPr>
        <w:jc w:val="both"/>
      </w:pPr>
      <w:r w:rsidRPr="000B39F3">
        <w:t xml:space="preserve">In conclusion, the analysis shows that the composition of the Court did not dramatically </w:t>
      </w:r>
      <w:r w:rsidR="00AF392E" w:rsidRPr="000B39F3">
        <w:t>change from its inception. I</w:t>
      </w:r>
      <w:r w:rsidRPr="000B39F3">
        <w:t xml:space="preserve">t is still </w:t>
      </w:r>
      <w:r w:rsidR="001F6997" w:rsidRPr="000B39F3">
        <w:t>shaped</w:t>
      </w:r>
      <w:r w:rsidRPr="000B39F3">
        <w:t xml:space="preserve"> by </w:t>
      </w:r>
      <w:proofErr w:type="gramStart"/>
      <w:r w:rsidRPr="000B39F3">
        <w:t>high ranking</w:t>
      </w:r>
      <w:proofErr w:type="gramEnd"/>
      <w:r w:rsidRPr="000B39F3">
        <w:t xml:space="preserve"> professional</w:t>
      </w:r>
      <w:r w:rsidR="0070076C" w:rsidRPr="000B39F3">
        <w:t>s</w:t>
      </w:r>
      <w:r w:rsidRPr="000B39F3">
        <w:t xml:space="preserve"> often combining an academic</w:t>
      </w:r>
      <w:r w:rsidR="00AF392E" w:rsidRPr="000B39F3">
        <w:t xml:space="preserve"> career with juridical</w:t>
      </w:r>
      <w:r w:rsidRPr="000B39F3">
        <w:t xml:space="preserve"> practice and governmental appoin</w:t>
      </w:r>
      <w:r w:rsidR="009A64A2" w:rsidRPr="000B39F3">
        <w:t>tments. The</w:t>
      </w:r>
      <w:r w:rsidRPr="000B39F3">
        <w:t>s</w:t>
      </w:r>
      <w:r w:rsidR="009A64A2" w:rsidRPr="000B39F3">
        <w:t>e</w:t>
      </w:r>
      <w:r w:rsidRPr="000B39F3">
        <w:t xml:space="preserve"> preliminary finding</w:t>
      </w:r>
      <w:r w:rsidR="009A64A2" w:rsidRPr="000B39F3">
        <w:t>s suggest</w:t>
      </w:r>
      <w:r w:rsidRPr="000B39F3">
        <w:t xml:space="preserve"> that concerns </w:t>
      </w:r>
      <w:r w:rsidR="009A64A2" w:rsidRPr="000B39F3">
        <w:t>about</w:t>
      </w:r>
      <w:r w:rsidRPr="000B39F3">
        <w:t xml:space="preserve"> the independence of the Court have not substantially been addressed by the reform of the Statutes of the Court, as the profiles of </w:t>
      </w:r>
      <w:r w:rsidR="009A64A2" w:rsidRPr="000B39F3">
        <w:t>former</w:t>
      </w:r>
      <w:r w:rsidRPr="000B39F3">
        <w:t xml:space="preserve"> public administrators are still dominant among the judges.</w:t>
      </w:r>
      <w:r w:rsidRPr="000B39F3">
        <w:rPr>
          <w:rStyle w:val="FootnoteReference"/>
        </w:rPr>
        <w:footnoteReference w:id="75"/>
      </w:r>
      <w:r w:rsidR="006D2519" w:rsidRPr="000B39F3">
        <w:t xml:space="preserve"> However, the most important finding for the purposes of this</w:t>
      </w:r>
      <w:r w:rsidRPr="000B39F3">
        <w:t xml:space="preserve"> study rela</w:t>
      </w:r>
      <w:r w:rsidR="00A0457E" w:rsidRPr="000B39F3">
        <w:t>tes to the range of</w:t>
      </w:r>
      <w:r w:rsidRPr="000B39F3">
        <w:t xml:space="preserve"> </w:t>
      </w:r>
      <w:r w:rsidR="006D2519" w:rsidRPr="000B39F3">
        <w:t>expertise</w:t>
      </w:r>
      <w:r w:rsidRPr="000B39F3">
        <w:t xml:space="preserve"> that the Court can use. Relevant </w:t>
      </w:r>
      <w:r w:rsidR="006D2519" w:rsidRPr="000B39F3">
        <w:t>g</w:t>
      </w:r>
      <w:r w:rsidR="004D23FD" w:rsidRPr="000B39F3">
        <w:t xml:space="preserve">aps have been identified, </w:t>
      </w:r>
      <w:r w:rsidRPr="000B39F3">
        <w:t>including bu</w:t>
      </w:r>
      <w:r w:rsidR="003A7018" w:rsidRPr="000B39F3">
        <w:t>t not limited to copyright law.</w:t>
      </w:r>
    </w:p>
    <w:p w14:paraId="345C67A7" w14:textId="6408EAC1" w:rsidR="0070076C" w:rsidRPr="000B39F3" w:rsidRDefault="0070076C" w:rsidP="00C67199">
      <w:pPr>
        <w:jc w:val="both"/>
      </w:pPr>
      <w:r w:rsidRPr="000B39F3">
        <w:t>Relating</w:t>
      </w:r>
      <w:r w:rsidR="005A4A5E" w:rsidRPr="000B39F3">
        <w:t xml:space="preserve"> these findings </w:t>
      </w:r>
      <w:r w:rsidRPr="000B39F3">
        <w:t>to</w:t>
      </w:r>
      <w:r w:rsidR="005A4A5E" w:rsidRPr="000B39F3">
        <w:t xml:space="preserve"> the </w:t>
      </w:r>
      <w:r w:rsidRPr="000B39F3">
        <w:t xml:space="preserve">analysis of case allocation in </w:t>
      </w:r>
      <w:r w:rsidR="005A4A5E" w:rsidRPr="000B39F3">
        <w:t xml:space="preserve">the previous section shows that there is no </w:t>
      </w:r>
      <w:r w:rsidRPr="000B39F3">
        <w:t>obvious reason for</w:t>
      </w:r>
      <w:r w:rsidR="005A4A5E" w:rsidRPr="000B39F3">
        <w:t xml:space="preserve"> the assignment of copyright ca</w:t>
      </w:r>
      <w:r w:rsidRPr="000B39F3">
        <w:t xml:space="preserve">ses to </w:t>
      </w:r>
      <w:r w:rsidR="00AA0417" w:rsidRPr="000B39F3">
        <w:t xml:space="preserve">a </w:t>
      </w:r>
      <w:r w:rsidRPr="000B39F3">
        <w:t>specific Reporting Judge</w:t>
      </w:r>
      <w:r w:rsidR="005A4A5E" w:rsidRPr="000B39F3">
        <w:t xml:space="preserve"> or Advocate General, because no</w:t>
      </w:r>
      <w:r w:rsidR="00751B70" w:rsidRPr="000B39F3">
        <w:t>t</w:t>
      </w:r>
      <w:r w:rsidR="005A4A5E" w:rsidRPr="000B39F3">
        <w:t xml:space="preserve"> one of the examined profiles </w:t>
      </w:r>
      <w:r w:rsidR="004D3179" w:rsidRPr="000B39F3">
        <w:t>indicates</w:t>
      </w:r>
      <w:r w:rsidR="005A4A5E" w:rsidRPr="000B39F3">
        <w:t xml:space="preserve"> a particular </w:t>
      </w:r>
      <w:r w:rsidRPr="000B39F3">
        <w:t xml:space="preserve">prior </w:t>
      </w:r>
      <w:r w:rsidR="005A4A5E" w:rsidRPr="000B39F3">
        <w:t xml:space="preserve">expertise in copyright law. </w:t>
      </w:r>
      <w:r w:rsidR="00751B70" w:rsidRPr="000B39F3">
        <w:t xml:space="preserve">Judge </w:t>
      </w:r>
      <w:proofErr w:type="spellStart"/>
      <w:r w:rsidR="00243716" w:rsidRPr="000B39F3">
        <w:t>Malenovský</w:t>
      </w:r>
      <w:proofErr w:type="spellEnd"/>
      <w:r w:rsidR="00151500" w:rsidRPr="000B39F3">
        <w:t xml:space="preserve">, for example, who is the </w:t>
      </w:r>
      <w:r w:rsidRPr="000B39F3">
        <w:t xml:space="preserve">dominant Reporting Judge in </w:t>
      </w:r>
      <w:r w:rsidR="00151500" w:rsidRPr="000B39F3">
        <w:t xml:space="preserve">copyright </w:t>
      </w:r>
      <w:proofErr w:type="gramStart"/>
      <w:r w:rsidR="00151500" w:rsidRPr="000B39F3">
        <w:t>cases</w:t>
      </w:r>
      <w:proofErr w:type="gramEnd"/>
      <w:r w:rsidR="00151500" w:rsidRPr="000B39F3">
        <w:t xml:space="preserve"> is a university professor of Internat</w:t>
      </w:r>
      <w:r w:rsidR="00AE5E31" w:rsidRPr="000B39F3">
        <w:t>ional, European, and Public Law.</w:t>
      </w:r>
      <w:r w:rsidR="00151500" w:rsidRPr="000B39F3">
        <w:t xml:space="preserve"> </w:t>
      </w:r>
      <w:r w:rsidR="00AE5E31" w:rsidRPr="000B39F3">
        <w:t>He</w:t>
      </w:r>
      <w:r w:rsidR="000868D5" w:rsidRPr="000B39F3">
        <w:t xml:space="preserve"> </w:t>
      </w:r>
      <w:r w:rsidRPr="000B39F3">
        <w:t xml:space="preserve">was </w:t>
      </w:r>
      <w:r w:rsidR="000868D5" w:rsidRPr="000B39F3">
        <w:t xml:space="preserve">also a judge of </w:t>
      </w:r>
      <w:r w:rsidR="004D3179" w:rsidRPr="000B39F3">
        <w:t xml:space="preserve">the </w:t>
      </w:r>
      <w:r w:rsidRPr="000B39F3">
        <w:t xml:space="preserve">Czech </w:t>
      </w:r>
      <w:r w:rsidR="000868D5" w:rsidRPr="000B39F3">
        <w:t>Constit</w:t>
      </w:r>
      <w:r w:rsidR="004D3179" w:rsidRPr="000B39F3">
        <w:t>utional Court, who worked for his</w:t>
      </w:r>
      <w:r w:rsidR="000868D5" w:rsidRPr="000B39F3">
        <w:t xml:space="preserve"> national Ministry of Foreign </w:t>
      </w:r>
      <w:r w:rsidR="004D3179" w:rsidRPr="000B39F3">
        <w:t>affairs and was sent to the EU C</w:t>
      </w:r>
      <w:r w:rsidR="000868D5" w:rsidRPr="000B39F3">
        <w:t xml:space="preserve">ouncil </w:t>
      </w:r>
      <w:r w:rsidR="004D3179" w:rsidRPr="000B39F3">
        <w:t xml:space="preserve">in this capacity </w:t>
      </w:r>
      <w:r w:rsidR="000868D5" w:rsidRPr="000B39F3">
        <w:t>(he was President of the Committee of Ministers</w:t>
      </w:r>
      <w:r w:rsidR="00336396" w:rsidRPr="000B39F3">
        <w:t>’</w:t>
      </w:r>
      <w:r w:rsidR="000868D5" w:rsidRPr="000B39F3">
        <w:t xml:space="preserve"> Deputies) before being appointed as a judge of the ECJ.</w:t>
      </w:r>
      <w:r w:rsidR="003C411F" w:rsidRPr="000B39F3">
        <w:t xml:space="preserve"> Judge </w:t>
      </w:r>
      <w:proofErr w:type="spellStart"/>
      <w:r w:rsidR="00FD11DA" w:rsidRPr="000B39F3">
        <w:t>Lenaerts</w:t>
      </w:r>
      <w:proofErr w:type="spellEnd"/>
      <w:r w:rsidR="002042DC" w:rsidRPr="000B39F3">
        <w:t xml:space="preserve"> </w:t>
      </w:r>
      <w:r w:rsidRPr="000B39F3">
        <w:t xml:space="preserve">who dominates database right jurisprudence </w:t>
      </w:r>
      <w:r w:rsidR="003C411F" w:rsidRPr="000B39F3">
        <w:t xml:space="preserve">was also a professor of Public and European law </w:t>
      </w:r>
      <w:r w:rsidRPr="000B39F3">
        <w:t>in Belgium, and joined the ECJ</w:t>
      </w:r>
      <w:r w:rsidR="004D3179" w:rsidRPr="000B39F3">
        <w:t xml:space="preserve"> from the Court of First I</w:t>
      </w:r>
      <w:r w:rsidR="003C411F" w:rsidRPr="000B39F3">
        <w:t>nstance</w:t>
      </w:r>
      <w:r w:rsidR="006B3B9A" w:rsidRPr="000B39F3">
        <w:t xml:space="preserve">, whereas judge </w:t>
      </w:r>
      <w:proofErr w:type="spellStart"/>
      <w:r w:rsidR="006B3B9A" w:rsidRPr="000B39F3">
        <w:t>Arestis</w:t>
      </w:r>
      <w:proofErr w:type="spellEnd"/>
      <w:r w:rsidR="006B3B9A" w:rsidRPr="000B39F3">
        <w:t xml:space="preserve"> was mainly a judge in </w:t>
      </w:r>
      <w:r w:rsidR="00B77A77" w:rsidRPr="000B39F3">
        <w:t xml:space="preserve">his </w:t>
      </w:r>
      <w:r w:rsidR="006B3B9A" w:rsidRPr="000B39F3">
        <w:t>native country</w:t>
      </w:r>
      <w:r w:rsidRPr="000B39F3">
        <w:t xml:space="preserve"> (Greece)</w:t>
      </w:r>
      <w:r w:rsidR="006B3B9A" w:rsidRPr="000B39F3">
        <w:t>.</w:t>
      </w:r>
      <w:r w:rsidR="00667CE4" w:rsidRPr="000B39F3">
        <w:t xml:space="preserve"> Among </w:t>
      </w:r>
      <w:r w:rsidRPr="000B39F3">
        <w:t>the</w:t>
      </w:r>
      <w:r w:rsidR="00FA454E" w:rsidRPr="000B39F3">
        <w:t xml:space="preserve"> recurring AGs in copyright cases, </w:t>
      </w:r>
      <w:proofErr w:type="spellStart"/>
      <w:r w:rsidR="00FA454E" w:rsidRPr="000B39F3">
        <w:t>Eleonor</w:t>
      </w:r>
      <w:proofErr w:type="spellEnd"/>
      <w:r w:rsidR="002042DC" w:rsidRPr="000B39F3">
        <w:t xml:space="preserve"> </w:t>
      </w:r>
      <w:proofErr w:type="spellStart"/>
      <w:r w:rsidR="00FA454E" w:rsidRPr="000B39F3">
        <w:t>Sharpston</w:t>
      </w:r>
      <w:proofErr w:type="spellEnd"/>
      <w:r w:rsidRPr="000B39F3">
        <w:t xml:space="preserve"> (UK)</w:t>
      </w:r>
      <w:r w:rsidR="00FA454E" w:rsidRPr="000B39F3">
        <w:t xml:space="preserve"> has a background</w:t>
      </w:r>
      <w:r w:rsidR="00667CE4" w:rsidRPr="000B39F3">
        <w:t xml:space="preserve"> in economics, language and law.</w:t>
      </w:r>
      <w:r w:rsidR="002042DC" w:rsidRPr="000B39F3">
        <w:t xml:space="preserve"> </w:t>
      </w:r>
      <w:r w:rsidR="00667CE4" w:rsidRPr="000B39F3">
        <w:t xml:space="preserve">She is a barrister and </w:t>
      </w:r>
      <w:r w:rsidR="00B00B5A" w:rsidRPr="000B39F3">
        <w:t>former</w:t>
      </w:r>
      <w:r w:rsidR="00667CE4" w:rsidRPr="000B39F3">
        <w:t xml:space="preserve"> academic in EC and comparative law</w:t>
      </w:r>
      <w:r w:rsidR="00B00B5A" w:rsidRPr="000B39F3">
        <w:t xml:space="preserve">, and </w:t>
      </w:r>
      <w:r w:rsidR="00667CE4" w:rsidRPr="000B39F3">
        <w:t>was legal secretary (</w:t>
      </w:r>
      <w:proofErr w:type="spellStart"/>
      <w:r w:rsidR="00667CE4" w:rsidRPr="000B39F3">
        <w:rPr>
          <w:i/>
        </w:rPr>
        <w:t>référendaire</w:t>
      </w:r>
      <w:proofErr w:type="spellEnd"/>
      <w:r w:rsidR="00667CE4" w:rsidRPr="000B39F3">
        <w:t xml:space="preserve">) at the ECJ before becoming </w:t>
      </w:r>
      <w:r w:rsidR="00B00B5A" w:rsidRPr="000B39F3">
        <w:t xml:space="preserve">a </w:t>
      </w:r>
      <w:r w:rsidR="00591460" w:rsidRPr="000B39F3">
        <w:t xml:space="preserve">judge. </w:t>
      </w:r>
      <w:r w:rsidR="00667CE4" w:rsidRPr="000B39F3">
        <w:t xml:space="preserve">AG </w:t>
      </w:r>
      <w:proofErr w:type="spellStart"/>
      <w:r w:rsidR="00667CE4" w:rsidRPr="000B39F3">
        <w:t>Verica</w:t>
      </w:r>
      <w:proofErr w:type="spellEnd"/>
      <w:r w:rsidR="00B00B5A" w:rsidRPr="000B39F3">
        <w:t xml:space="preserve"> </w:t>
      </w:r>
      <w:proofErr w:type="spellStart"/>
      <w:r w:rsidR="00667CE4" w:rsidRPr="000B39F3">
        <w:t>Trstenjak</w:t>
      </w:r>
      <w:proofErr w:type="spellEnd"/>
      <w:r w:rsidRPr="000B39F3">
        <w:t xml:space="preserve"> (Slovenia)</w:t>
      </w:r>
      <w:r w:rsidR="00667CE4" w:rsidRPr="000B39F3">
        <w:t>, who left the court in 2012, is a Private Law professor who covered high posts within her home government before being appointed as a member of the Court.</w:t>
      </w:r>
    </w:p>
    <w:p w14:paraId="58014510" w14:textId="6203A175" w:rsidR="003B67E0" w:rsidRPr="000B39F3" w:rsidRDefault="0070076C" w:rsidP="00C67199">
      <w:pPr>
        <w:jc w:val="both"/>
      </w:pPr>
      <w:r w:rsidRPr="000B39F3">
        <w:t>In summary, the combined findings from the allocation of cases and the analysis of biographical backgrounds</w:t>
      </w:r>
      <w:r w:rsidR="003B67E0" w:rsidRPr="000B39F3">
        <w:t xml:space="preserve"> suggest that the working</w:t>
      </w:r>
      <w:r w:rsidR="00B00B5A" w:rsidRPr="000B39F3">
        <w:t>s of the Court of Justice rely</w:t>
      </w:r>
      <w:r w:rsidR="003B67E0" w:rsidRPr="000B39F3">
        <w:t xml:space="preserve"> on a mechanism for judicial learning (by repeat assignment of case types to the same professionals). However, there appears to be no procedure for passing on this expertise. The development of subject specific jurisprudence may be set back periodically, as members join the Court as non-experts, and leave the Court with their acquired expertise. </w:t>
      </w:r>
    </w:p>
    <w:p w14:paraId="43C35705" w14:textId="77777777" w:rsidR="001F5EAD" w:rsidRPr="000B39F3" w:rsidRDefault="003B67E0" w:rsidP="00217ACB">
      <w:pPr>
        <w:jc w:val="both"/>
      </w:pPr>
      <w:r w:rsidRPr="000B39F3">
        <w:lastRenderedPageBreak/>
        <w:t>In order to explore this potential tension further, we next investigate specific patterns of legal reasoning that may be linked to judges and outcomes.</w:t>
      </w:r>
    </w:p>
    <w:p w14:paraId="04A1D04B" w14:textId="77777777" w:rsidR="007B7209" w:rsidRPr="000B39F3" w:rsidRDefault="007B7209" w:rsidP="00217ACB">
      <w:pPr>
        <w:jc w:val="both"/>
      </w:pPr>
    </w:p>
    <w:p w14:paraId="37F059DD" w14:textId="77777777" w:rsidR="00256C2B" w:rsidRDefault="00256C2B">
      <w:pPr>
        <w:spacing w:line="276" w:lineRule="auto"/>
        <w:rPr>
          <w:b/>
        </w:rPr>
      </w:pPr>
      <w:r>
        <w:rPr>
          <w:b/>
        </w:rPr>
        <w:br w:type="page"/>
      </w:r>
    </w:p>
    <w:p w14:paraId="24BE930E" w14:textId="52CA5A20" w:rsidR="008D2BA1" w:rsidRPr="000B39F3" w:rsidRDefault="008D2BA1" w:rsidP="008D2BA1">
      <w:pPr>
        <w:jc w:val="center"/>
        <w:outlineLvl w:val="0"/>
        <w:rPr>
          <w:b/>
        </w:rPr>
      </w:pPr>
      <w:r w:rsidRPr="000B39F3">
        <w:rPr>
          <w:b/>
        </w:rPr>
        <w:lastRenderedPageBreak/>
        <w:t>EMPIRICAL STUDY II: CONTENT ANALYSIS</w:t>
      </w:r>
    </w:p>
    <w:p w14:paraId="37EE3D59" w14:textId="77777777" w:rsidR="0035446E" w:rsidRPr="000B39F3" w:rsidRDefault="000F0B18" w:rsidP="001E1BFF">
      <w:pPr>
        <w:jc w:val="both"/>
        <w:outlineLvl w:val="0"/>
        <w:rPr>
          <w:u w:val="single"/>
        </w:rPr>
      </w:pPr>
      <w:r w:rsidRPr="000B39F3">
        <w:rPr>
          <w:u w:val="single"/>
        </w:rPr>
        <w:t>The legal a</w:t>
      </w:r>
      <w:r w:rsidR="0035446E" w:rsidRPr="000B39F3">
        <w:rPr>
          <w:u w:val="single"/>
        </w:rPr>
        <w:t xml:space="preserve">pproaches of the </w:t>
      </w:r>
      <w:r w:rsidRPr="000B39F3">
        <w:rPr>
          <w:u w:val="single"/>
        </w:rPr>
        <w:t>ECJ</w:t>
      </w:r>
    </w:p>
    <w:p w14:paraId="49B453B3" w14:textId="647AD9E6" w:rsidR="0035446E" w:rsidRPr="000B39F3" w:rsidRDefault="009C14F5" w:rsidP="00C67199">
      <w:pPr>
        <w:jc w:val="both"/>
      </w:pPr>
      <w:r w:rsidRPr="000B39F3">
        <w:t>T</w:t>
      </w:r>
      <w:r w:rsidR="00B77A77" w:rsidRPr="000B39F3">
        <w:t xml:space="preserve">he </w:t>
      </w:r>
      <w:r w:rsidR="0035446E" w:rsidRPr="000B39F3">
        <w:t xml:space="preserve">main focus of </w:t>
      </w:r>
      <w:r w:rsidRPr="000B39F3">
        <w:t>academic</w:t>
      </w:r>
      <w:r w:rsidR="0035446E" w:rsidRPr="000B39F3">
        <w:t xml:space="preserve"> analysis </w:t>
      </w:r>
      <w:r w:rsidRPr="000B39F3">
        <w:t xml:space="preserve">of the copyright jurisprudence of the ECJ </w:t>
      </w:r>
      <w:r w:rsidR="0035446E" w:rsidRPr="000B39F3">
        <w:t xml:space="preserve">has been on the </w:t>
      </w:r>
      <w:r w:rsidR="00F023AF" w:rsidRPr="000B39F3">
        <w:t>doctrinal</w:t>
      </w:r>
      <w:r w:rsidR="0035446E" w:rsidRPr="000B39F3">
        <w:t xml:space="preserve"> substance of the Court</w:t>
      </w:r>
      <w:r w:rsidR="00336396" w:rsidRPr="000B39F3">
        <w:t>’</w:t>
      </w:r>
      <w:r w:rsidR="0035446E" w:rsidRPr="000B39F3">
        <w:t>s decisions, rather than on the legal approaches privileged by the Co</w:t>
      </w:r>
      <w:r w:rsidR="00BD68AE" w:rsidRPr="000B39F3">
        <w:t>urt in its reasoning. T</w:t>
      </w:r>
      <w:r w:rsidR="0035446E" w:rsidRPr="000B39F3">
        <w:t xml:space="preserve">he legal techniques of the Court have </w:t>
      </w:r>
      <w:r w:rsidR="00BD68AE" w:rsidRPr="000B39F3">
        <w:t xml:space="preserve">however </w:t>
      </w:r>
      <w:r w:rsidR="0035446E" w:rsidRPr="000B39F3">
        <w:t>been analysed</w:t>
      </w:r>
      <w:r w:rsidR="00F023AF" w:rsidRPr="000B39F3">
        <w:t xml:space="preserve"> </w:t>
      </w:r>
      <w:r w:rsidR="0087797D" w:rsidRPr="000B39F3">
        <w:t>in the framework of European governance</w:t>
      </w:r>
      <w:r w:rsidR="0035446E" w:rsidRPr="000B39F3">
        <w:t>,</w:t>
      </w:r>
      <w:r w:rsidR="00F023AF" w:rsidRPr="000B39F3">
        <w:t xml:space="preserve"> </w:t>
      </w:r>
      <w:r w:rsidR="00BD1B30" w:rsidRPr="000B39F3">
        <w:t>where</w:t>
      </w:r>
      <w:r w:rsidR="001F5EAD" w:rsidRPr="000B39F3">
        <w:t xml:space="preserve"> some</w:t>
      </w:r>
      <w:r w:rsidR="0035446E" w:rsidRPr="000B39F3">
        <w:t xml:space="preserve"> reasons for concern have emerged. The lack of reasoning in the grounds of </w:t>
      </w:r>
      <w:r w:rsidR="00EF4A18" w:rsidRPr="000B39F3">
        <w:t>judgment</w:t>
      </w:r>
      <w:r w:rsidR="0035446E" w:rsidRPr="000B39F3">
        <w:t>, for example, or insufficient reasoning, has been criticised.</w:t>
      </w:r>
      <w:bookmarkStart w:id="25" w:name="_RefF2"/>
      <w:r w:rsidR="0035446E" w:rsidRPr="000B39F3">
        <w:rPr>
          <w:rStyle w:val="FootnoteReference"/>
        </w:rPr>
        <w:footnoteReference w:id="76"/>
      </w:r>
      <w:bookmarkEnd w:id="25"/>
      <w:r w:rsidR="0035446E" w:rsidRPr="000B39F3">
        <w:t xml:space="preserve"> Moreover, the Court has often been accused of judicial activism, </w:t>
      </w:r>
      <w:r w:rsidR="00B77A77" w:rsidRPr="000B39F3">
        <w:t>over-reaching</w:t>
      </w:r>
      <w:r w:rsidR="001F5EAD" w:rsidRPr="000B39F3">
        <w:t xml:space="preserve"> its powers, and resulting in</w:t>
      </w:r>
      <w:r w:rsidR="0035446E" w:rsidRPr="000B39F3">
        <w:t xml:space="preserve"> controversial rulings.</w:t>
      </w:r>
      <w:r w:rsidR="0035446E" w:rsidRPr="000B39F3">
        <w:rPr>
          <w:rStyle w:val="FootnoteReference"/>
        </w:rPr>
        <w:footnoteReference w:id="77"/>
      </w:r>
    </w:p>
    <w:p w14:paraId="25FBE819" w14:textId="7CBEEDED" w:rsidR="0035446E" w:rsidRPr="000B39F3" w:rsidRDefault="0035446E" w:rsidP="00C67199">
      <w:pPr>
        <w:jc w:val="both"/>
      </w:pPr>
      <w:r w:rsidRPr="000B39F3">
        <w:t xml:space="preserve">Among the minority of scholars </w:t>
      </w:r>
      <w:r w:rsidR="00B77A77" w:rsidRPr="000B39F3">
        <w:t xml:space="preserve">who have </w:t>
      </w:r>
      <w:r w:rsidRPr="000B39F3">
        <w:t xml:space="preserve">devoted specific attention to the legal arguments employed by the European Court in their context of justification, </w:t>
      </w:r>
      <w:proofErr w:type="spellStart"/>
      <w:r w:rsidRPr="000B39F3">
        <w:t>Joxerramon</w:t>
      </w:r>
      <w:proofErr w:type="spellEnd"/>
      <w:r w:rsidR="00220725" w:rsidRPr="000B39F3">
        <w:t xml:space="preserve"> </w:t>
      </w:r>
      <w:proofErr w:type="spellStart"/>
      <w:r w:rsidRPr="000B39F3">
        <w:t>Bengoetxea</w:t>
      </w:r>
      <w:r w:rsidR="009C14F5" w:rsidRPr="000B39F3">
        <w:t>’s</w:t>
      </w:r>
      <w:proofErr w:type="spellEnd"/>
      <w:r w:rsidR="009C14F5" w:rsidRPr="000B39F3">
        <w:t xml:space="preserve"> 1993 study</w:t>
      </w:r>
      <w:r w:rsidRPr="000B39F3">
        <w:t xml:space="preserve"> deserves </w:t>
      </w:r>
      <w:r w:rsidR="00CA7EE4" w:rsidRPr="000B39F3">
        <w:t>close</w:t>
      </w:r>
      <w:r w:rsidR="00B77A77" w:rsidRPr="000B39F3">
        <w:t xml:space="preserve"> attention</w:t>
      </w:r>
      <w:r w:rsidRPr="000B39F3">
        <w:t>.</w:t>
      </w:r>
      <w:r w:rsidRPr="000B39F3">
        <w:rPr>
          <w:rStyle w:val="FootnoteReference"/>
        </w:rPr>
        <w:footnoteReference w:id="78"/>
      </w:r>
      <w:r w:rsidR="00220725" w:rsidRPr="000B39F3">
        <w:t xml:space="preserve"> In</w:t>
      </w:r>
      <w:r w:rsidRPr="000B39F3">
        <w:t xml:space="preserve"> our </w:t>
      </w:r>
      <w:r w:rsidR="009C14F5" w:rsidRPr="000B39F3">
        <w:t>theoretical context</w:t>
      </w:r>
      <w:r w:rsidRPr="000B39F3">
        <w:t xml:space="preserve">, he provided the first systematic analysis of the legal approaches implemented by the Court. To this end, he examined decisions of the Court in which the methodology implemented for the interpretation of law was expressly discussed by the judges, and decisions in which the Court clearly employed a given approach, without explicitly justifying it. </w:t>
      </w:r>
    </w:p>
    <w:p w14:paraId="4C03DA67" w14:textId="6A81B583" w:rsidR="0035446E" w:rsidRPr="000B39F3" w:rsidRDefault="0035446E" w:rsidP="00C67199">
      <w:pPr>
        <w:jc w:val="both"/>
      </w:pPr>
      <w:proofErr w:type="spellStart"/>
      <w:r w:rsidRPr="000B39F3">
        <w:t>Bengoetxea</w:t>
      </w:r>
      <w:proofErr w:type="spellEnd"/>
      <w:r w:rsidRPr="000B39F3">
        <w:t xml:space="preserve"> finds that the European Court adopts by and large the same </w:t>
      </w:r>
      <w:r w:rsidRPr="000B39F3">
        <w:rPr>
          <w:i/>
        </w:rPr>
        <w:t>topoi</w:t>
      </w:r>
      <w:r w:rsidRPr="000B39F3">
        <w:t xml:space="preserve"> of legal interpretation that are recognised by the most </w:t>
      </w:r>
      <w:r w:rsidR="009C14F5" w:rsidRPr="000B39F3">
        <w:t>advanced legal systems. They</w:t>
      </w:r>
      <w:r w:rsidRPr="000B39F3">
        <w:t xml:space="preserve"> can be summarised in linguistic or semiotic arguments, contextual or systematic arguments, and teleological or </w:t>
      </w:r>
      <w:r w:rsidR="00743DB6" w:rsidRPr="000B39F3">
        <w:t>dynamic</w:t>
      </w:r>
      <w:r w:rsidRPr="000B39F3">
        <w:t xml:space="preserve"> arguments. </w:t>
      </w:r>
      <w:r w:rsidR="00743DB6" w:rsidRPr="000B39F3">
        <w:t xml:space="preserve">Among the dynamic arguments </w:t>
      </w:r>
      <w:proofErr w:type="spellStart"/>
      <w:r w:rsidR="00743DB6" w:rsidRPr="000B39F3">
        <w:t>Bengoetxea</w:t>
      </w:r>
      <w:proofErr w:type="spellEnd"/>
      <w:r w:rsidR="00743DB6" w:rsidRPr="000B39F3">
        <w:t xml:space="preserve"> includes the use of</w:t>
      </w:r>
      <w:r w:rsidR="00220725" w:rsidRPr="000B39F3">
        <w:t xml:space="preserve"> </w:t>
      </w:r>
      <w:r w:rsidRPr="000B39F3">
        <w:rPr>
          <w:i/>
        </w:rPr>
        <w:t>topoi</w:t>
      </w:r>
      <w:r w:rsidRPr="000B39F3">
        <w:t xml:space="preserve"> peculiar to the European legal framework, such as the uniform application of EU law, the </w:t>
      </w:r>
      <w:proofErr w:type="spellStart"/>
      <w:r w:rsidRPr="000B39F3">
        <w:rPr>
          <w:i/>
        </w:rPr>
        <w:t>effet</w:t>
      </w:r>
      <w:proofErr w:type="spellEnd"/>
      <w:r w:rsidRPr="000B39F3">
        <w:rPr>
          <w:i/>
        </w:rPr>
        <w:t xml:space="preserve"> utile</w:t>
      </w:r>
      <w:r w:rsidRPr="000B39F3">
        <w:t>, the principle of supremacy, the direct effect, the principle of proportionality, etc.</w:t>
      </w:r>
      <w:bookmarkStart w:id="26" w:name="_RefF7"/>
      <w:r w:rsidRPr="000B39F3">
        <w:rPr>
          <w:rStyle w:val="FootnoteReference"/>
        </w:rPr>
        <w:footnoteReference w:id="79"/>
      </w:r>
      <w:bookmarkEnd w:id="26"/>
      <w:r w:rsidRPr="000B39F3">
        <w:t xml:space="preserve"> Finally, in the absence of an exhaustive normative system it becomes important for the</w:t>
      </w:r>
      <w:r w:rsidR="003A4FCF" w:rsidRPr="000B39F3">
        <w:t xml:space="preserve"> Court to recur to its own case-</w:t>
      </w:r>
      <w:r w:rsidRPr="000B39F3">
        <w:t xml:space="preserve">law both as a </w:t>
      </w:r>
      <w:proofErr w:type="spellStart"/>
      <w:r w:rsidRPr="000B39F3">
        <w:rPr>
          <w:i/>
        </w:rPr>
        <w:t>topos</w:t>
      </w:r>
      <w:proofErr w:type="spellEnd"/>
      <w:r w:rsidRPr="000B39F3">
        <w:t xml:space="preserve"> and as a normative source.</w:t>
      </w:r>
      <w:r w:rsidRPr="000B39F3">
        <w:rPr>
          <w:rStyle w:val="FootnoteReference"/>
        </w:rPr>
        <w:footnoteReference w:id="80"/>
      </w:r>
    </w:p>
    <w:p w14:paraId="4ADE7AA8" w14:textId="62668127" w:rsidR="0035446E" w:rsidRPr="000B39F3" w:rsidRDefault="0035446E" w:rsidP="00C67199">
      <w:pPr>
        <w:jc w:val="both"/>
      </w:pPr>
      <w:r w:rsidRPr="000B39F3">
        <w:t xml:space="preserve">More recently, </w:t>
      </w:r>
      <w:proofErr w:type="gramStart"/>
      <w:r w:rsidRPr="000B39F3">
        <w:t xml:space="preserve">another </w:t>
      </w:r>
      <w:r w:rsidR="00B339A4" w:rsidRPr="000B39F3">
        <w:t>exhaustive</w:t>
      </w:r>
      <w:r w:rsidRPr="000B39F3">
        <w:t xml:space="preserve"> review of the legal approaches employed by the European Court has been carried out by Gunnar Beck</w:t>
      </w:r>
      <w:proofErr w:type="gramEnd"/>
      <w:r w:rsidRPr="000B39F3">
        <w:t xml:space="preserve">. As </w:t>
      </w:r>
      <w:proofErr w:type="spellStart"/>
      <w:r w:rsidRPr="000B39F3">
        <w:t>Bengoet</w:t>
      </w:r>
      <w:r w:rsidR="00A50098" w:rsidRPr="000B39F3">
        <w:t>xea</w:t>
      </w:r>
      <w:proofErr w:type="spellEnd"/>
      <w:r w:rsidR="00A50098" w:rsidRPr="000B39F3">
        <w:t xml:space="preserve">, he finds that </w:t>
      </w:r>
      <w:r w:rsidRPr="000B39F3">
        <w:t xml:space="preserve">the legal arguments or </w:t>
      </w:r>
      <w:r w:rsidRPr="000B39F3">
        <w:rPr>
          <w:i/>
        </w:rPr>
        <w:t>topoi</w:t>
      </w:r>
      <w:r w:rsidRPr="000B39F3">
        <w:t xml:space="preserve"> employed by the ECJ in its legal reasoning </w:t>
      </w:r>
      <w:r w:rsidR="00A50098" w:rsidRPr="000B39F3">
        <w:t>are</w:t>
      </w:r>
      <w:r w:rsidRPr="000B39F3">
        <w:t xml:space="preserve"> those recognised by most advanced legal systems. </w:t>
      </w:r>
      <w:r w:rsidR="00867B6A" w:rsidRPr="000B39F3">
        <w:t>H</w:t>
      </w:r>
      <w:r w:rsidRPr="000B39F3">
        <w:t>e critically assesses the choices of the Court in matter</w:t>
      </w:r>
      <w:r w:rsidR="00A03F48" w:rsidRPr="000B39F3">
        <w:t>s</w:t>
      </w:r>
      <w:r w:rsidRPr="000B39F3">
        <w:t xml:space="preserve"> of legal interpretation</w:t>
      </w:r>
      <w:r w:rsidR="00A03F48" w:rsidRPr="000B39F3">
        <w:t>,</w:t>
      </w:r>
      <w:r w:rsidRPr="000B39F3">
        <w:t xml:space="preserve"> and tests the </w:t>
      </w:r>
      <w:r w:rsidR="00A03F48" w:rsidRPr="000B39F3">
        <w:t>critique</w:t>
      </w:r>
      <w:r w:rsidRPr="000B39F3">
        <w:t xml:space="preserve"> according to which the European judges cumulatively use a number of legal approaches, without a hierarchical order. In essence, he finds that on the one hand the occurrence of </w:t>
      </w:r>
      <w:r w:rsidR="00206A6C" w:rsidRPr="000B39F3">
        <w:t>this latter attitude</w:t>
      </w:r>
      <w:r w:rsidRPr="000B39F3">
        <w:t xml:space="preserve"> of the Court is </w:t>
      </w:r>
      <w:r w:rsidR="00B339A4" w:rsidRPr="000B39F3">
        <w:t>mostly</w:t>
      </w:r>
      <w:r w:rsidRPr="000B39F3">
        <w:t xml:space="preserve"> justified, and on the other hand the impact of this approach on the jurisprudence of the Court should not be exaggerated.</w:t>
      </w:r>
      <w:r w:rsidRPr="000B39F3">
        <w:rPr>
          <w:rStyle w:val="FootnoteReference"/>
        </w:rPr>
        <w:footnoteReference w:id="81"/>
      </w:r>
    </w:p>
    <w:p w14:paraId="541465AF" w14:textId="50E9C2A8" w:rsidR="0035446E" w:rsidRPr="000B39F3" w:rsidRDefault="0035446E" w:rsidP="00C67199">
      <w:pPr>
        <w:jc w:val="both"/>
      </w:pPr>
      <w:r w:rsidRPr="000B39F3">
        <w:t>The cumulative method of the Court represents a departure from the three-step approach theori</w:t>
      </w:r>
      <w:r w:rsidR="00975314" w:rsidRPr="000B39F3">
        <w:t>s</w:t>
      </w:r>
      <w:r w:rsidRPr="000B39F3">
        <w:t xml:space="preserve">ed by McCormick and </w:t>
      </w:r>
      <w:proofErr w:type="gramStart"/>
      <w:r w:rsidRPr="000B39F3">
        <w:t>Summers</w:t>
      </w:r>
      <w:proofErr w:type="gramEnd"/>
      <w:r w:rsidRPr="000B39F3">
        <w:t>.</w:t>
      </w:r>
      <w:bookmarkStart w:id="27" w:name="_RefF11"/>
      <w:r w:rsidRPr="000B39F3">
        <w:rPr>
          <w:rStyle w:val="FootnoteReference"/>
        </w:rPr>
        <w:footnoteReference w:id="82"/>
      </w:r>
      <w:bookmarkEnd w:id="27"/>
      <w:r w:rsidRPr="000B39F3">
        <w:t xml:space="preserve"> According to </w:t>
      </w:r>
      <w:r w:rsidR="00A6550A" w:rsidRPr="000B39F3">
        <w:t>their theory</w:t>
      </w:r>
      <w:r w:rsidRPr="000B39F3">
        <w:t xml:space="preserve">, courts should address legal cases in three steps. The first step involves an exam of the text of the law in search of a legal meaning that clearly applies to the factual situation (semiotic argument). This legal analysis involves to some extent contextual analysis, </w:t>
      </w:r>
      <w:r w:rsidRPr="000B39F3">
        <w:lastRenderedPageBreak/>
        <w:t xml:space="preserve">intended as the analysis of the literal context in which the letter of the law is framed. In the case of EU directives, for example, this would involve an analysis of the recitals of the directive, in order to provide clarifications on the meaning of the text. This is mostly sufficient in the grounds for </w:t>
      </w:r>
      <w:r w:rsidR="00EF4A18" w:rsidRPr="000B39F3">
        <w:t>judgment</w:t>
      </w:r>
      <w:r w:rsidRPr="000B39F3">
        <w:t xml:space="preserve"> when a case is clear.</w:t>
      </w:r>
      <w:r w:rsidRPr="000B39F3">
        <w:rPr>
          <w:rStyle w:val="FootnoteReference"/>
        </w:rPr>
        <w:footnoteReference w:id="83"/>
      </w:r>
      <w:r w:rsidRPr="000B39F3">
        <w:t xml:space="preserve"> But for most cases, when the text of the law does not suffice to provide a solution, other arguments have to be called upon. </w:t>
      </w:r>
    </w:p>
    <w:p w14:paraId="2D8DBE92" w14:textId="77777777" w:rsidR="0035446E" w:rsidRPr="000B39F3" w:rsidRDefault="0035446E" w:rsidP="00C67199">
      <w:pPr>
        <w:jc w:val="both"/>
      </w:pPr>
      <w:r w:rsidRPr="000B39F3">
        <w:t>Step two therefore involves a systematic or contextual interpretation, which goes beyond the semantic context of the legal text. Historical considerations (for example, preparatory works for a directive), economic considerations (for example, advantages or disadvantages for the internal market)</w:t>
      </w:r>
      <w:r w:rsidR="00007A06" w:rsidRPr="000B39F3">
        <w:t>,</w:t>
      </w:r>
      <w:r w:rsidRPr="000B39F3">
        <w:t xml:space="preserve"> contextual legislative frameworks (for example other directives, international treaties, fundamental principles of law) are called into play. Step three, finally, involves a purposive or teleological reading of the law, which takes into account the intention of the legislator, as deduced from the above sources. Step three is seen by some as a potentially risky approach because involves a larger amount of discretion by the judge. Therefore, according to these commentators, step three should be called into play only when the first two steps did not help with the interpretation of the legal text.</w:t>
      </w:r>
      <w:r w:rsidRPr="000B39F3">
        <w:rPr>
          <w:rStyle w:val="FootnoteReference"/>
        </w:rPr>
        <w:footnoteReference w:id="84"/>
      </w:r>
    </w:p>
    <w:p w14:paraId="31D4B245" w14:textId="345DE378" w:rsidR="0035446E" w:rsidRPr="000B39F3" w:rsidRDefault="001A50D6" w:rsidP="00C67199">
      <w:pPr>
        <w:jc w:val="both"/>
      </w:pPr>
      <w:r w:rsidRPr="000B39F3">
        <w:t>C</w:t>
      </w:r>
      <w:r w:rsidR="0035446E" w:rsidRPr="000B39F3">
        <w:t>ritics of the cumulative approach of the Court re</w:t>
      </w:r>
      <w:r w:rsidR="00DC3D67" w:rsidRPr="000B39F3">
        <w:t>proach the European judiciary for</w:t>
      </w:r>
      <w:r w:rsidR="0035446E" w:rsidRPr="000B39F3">
        <w:t xml:space="preserve"> favour</w:t>
      </w:r>
      <w:r w:rsidR="00DC3D67" w:rsidRPr="000B39F3">
        <w:t>ing</w:t>
      </w:r>
      <w:r w:rsidR="0035446E" w:rsidRPr="000B39F3">
        <w:t xml:space="preserve"> purposive interpretation over semantic techniques in order to foster European integration.</w:t>
      </w:r>
      <w:r w:rsidR="0035446E" w:rsidRPr="000B39F3">
        <w:rPr>
          <w:rStyle w:val="FootnoteReference"/>
        </w:rPr>
        <w:footnoteReference w:id="85"/>
      </w:r>
      <w:r w:rsidR="0035446E" w:rsidRPr="000B39F3">
        <w:t xml:space="preserve"> Beck admits this attitude of the Court, but he argues that this </w:t>
      </w:r>
      <w:r w:rsidR="00336396" w:rsidRPr="000B39F3">
        <w:t>‘</w:t>
      </w:r>
      <w:proofErr w:type="spellStart"/>
      <w:r w:rsidR="0035446E" w:rsidRPr="000B39F3">
        <w:rPr>
          <w:i/>
        </w:rPr>
        <w:t>communautaire</w:t>
      </w:r>
      <w:proofErr w:type="spellEnd"/>
      <w:r w:rsidR="0035446E" w:rsidRPr="000B39F3">
        <w:t xml:space="preserve"> flavour</w:t>
      </w:r>
      <w:r w:rsidR="00336396" w:rsidRPr="000B39F3">
        <w:t>’</w:t>
      </w:r>
      <w:r w:rsidR="0035446E" w:rsidRPr="000B39F3">
        <w:t xml:space="preserve"> find its origin not only in the Courts judicial activism but also in the legal uncertainty of European law.</w:t>
      </w:r>
      <w:r w:rsidR="0035446E" w:rsidRPr="000B39F3">
        <w:rPr>
          <w:rStyle w:val="FootnoteReference"/>
        </w:rPr>
        <w:footnoteReference w:id="86"/>
      </w:r>
      <w:r w:rsidR="0035446E" w:rsidRPr="000B39F3">
        <w:t xml:space="preserve"> Moreover, he argues, the occurrence of such attitude in the European jurisprudence is not evenly employed but depends on subject areas.</w:t>
      </w:r>
      <w:r w:rsidR="0035446E" w:rsidRPr="000B39F3">
        <w:rPr>
          <w:rStyle w:val="FootnoteReference"/>
        </w:rPr>
        <w:footnoteReference w:id="87"/>
      </w:r>
    </w:p>
    <w:p w14:paraId="47C7C2A1" w14:textId="464DBB38" w:rsidR="0035446E" w:rsidRPr="000B39F3" w:rsidRDefault="0035446E" w:rsidP="00C67199">
      <w:pPr>
        <w:jc w:val="both"/>
      </w:pPr>
      <w:r w:rsidRPr="000B39F3">
        <w:t xml:space="preserve">Finally, Beck </w:t>
      </w:r>
      <w:r w:rsidR="009C14F5" w:rsidRPr="000B39F3">
        <w:t>suggests</w:t>
      </w:r>
      <w:r w:rsidRPr="000B39F3">
        <w:t xml:space="preserve"> that the legal reasoning of the Court is less constrained than that of other high courts</w:t>
      </w:r>
      <w:r w:rsidR="001A50D6" w:rsidRPr="000B39F3">
        <w:t>, but he ascribes this to</w:t>
      </w:r>
      <w:r w:rsidRPr="000B39F3">
        <w:t xml:space="preserve"> the peculiar nature of the European judiciary. On the one hand a multilingual and multi-governmental legal system offers more uncertainty over literal interpretations and historical interpretations (instrumental to understand the </w:t>
      </w:r>
      <w:r w:rsidR="00336396" w:rsidRPr="000B39F3">
        <w:t>‘</w:t>
      </w:r>
      <w:r w:rsidRPr="000B39F3">
        <w:t>intention</w:t>
      </w:r>
      <w:r w:rsidR="00336396" w:rsidRPr="000B39F3">
        <w:t>’</w:t>
      </w:r>
      <w:r w:rsidRPr="000B39F3">
        <w:t xml:space="preserve"> of the legislator</w:t>
      </w:r>
      <w:r w:rsidR="00336396" w:rsidRPr="000B39F3">
        <w:t>’</w:t>
      </w:r>
      <w:r w:rsidRPr="000B39F3">
        <w:rPr>
          <w:rStyle w:val="FootnoteReference"/>
        </w:rPr>
        <w:footnoteReference w:id="88"/>
      </w:r>
      <w:r w:rsidRPr="000B39F3">
        <w:t xml:space="preserve">); and on the other hand, as in most legal systems, there is no hierarchical order of the </w:t>
      </w:r>
      <w:r w:rsidRPr="000B39F3">
        <w:rPr>
          <w:i/>
        </w:rPr>
        <w:t>topoi</w:t>
      </w:r>
      <w:r w:rsidRPr="000B39F3">
        <w:rPr>
          <w:rStyle w:val="FootnoteReference"/>
        </w:rPr>
        <w:footnoteReference w:id="89"/>
      </w:r>
      <w:r w:rsidRPr="000B39F3">
        <w:t xml:space="preserve"> to be employed in the legal justifications, </w:t>
      </w:r>
      <w:r w:rsidRPr="000B39F3">
        <w:lastRenderedPageBreak/>
        <w:t>hence the relevant amount of discretion that the Court enjoys in its reasoning.</w:t>
      </w:r>
      <w:r w:rsidRPr="000B39F3">
        <w:rPr>
          <w:rStyle w:val="FootnoteReference"/>
        </w:rPr>
        <w:footnoteReference w:id="90"/>
      </w:r>
      <w:r w:rsidRPr="000B39F3">
        <w:t xml:space="preserve"> This is how other extra-legal </w:t>
      </w:r>
      <w:r w:rsidR="00336396" w:rsidRPr="000B39F3">
        <w:t>‘</w:t>
      </w:r>
      <w:r w:rsidRPr="000B39F3">
        <w:t>steadying factors</w:t>
      </w:r>
      <w:r w:rsidR="00336396" w:rsidRPr="000B39F3">
        <w:t>’</w:t>
      </w:r>
      <w:r w:rsidRPr="000B39F3">
        <w:t xml:space="preserve"> enter the determination of the Court</w:t>
      </w:r>
      <w:r w:rsidR="00336396" w:rsidRPr="000B39F3">
        <w:t>’</w:t>
      </w:r>
      <w:r w:rsidRPr="000B39F3">
        <w:t xml:space="preserve">s </w:t>
      </w:r>
      <w:r w:rsidR="00EF4A18" w:rsidRPr="000B39F3">
        <w:t>judgment</w:t>
      </w:r>
      <w:r w:rsidRPr="000B39F3">
        <w:t xml:space="preserve">s. While the </w:t>
      </w:r>
      <w:r w:rsidRPr="000B39F3">
        <w:rPr>
          <w:i/>
        </w:rPr>
        <w:t>topoi</w:t>
      </w:r>
      <w:r w:rsidRPr="000B39F3">
        <w:t xml:space="preserve"> relate to the context of justification of a </w:t>
      </w:r>
      <w:r w:rsidR="00EF4A18" w:rsidRPr="000B39F3">
        <w:t>judgment</w:t>
      </w:r>
      <w:r w:rsidRPr="000B39F3">
        <w:t xml:space="preserve">, the </w:t>
      </w:r>
      <w:r w:rsidR="00336396" w:rsidRPr="000B39F3">
        <w:t>‘</w:t>
      </w:r>
      <w:r w:rsidRPr="000B39F3">
        <w:t>steadying factors</w:t>
      </w:r>
      <w:r w:rsidR="00336396" w:rsidRPr="000B39F3">
        <w:t>’</w:t>
      </w:r>
      <w:r w:rsidRPr="000B39F3">
        <w:t xml:space="preserve"> relate to the context of discovery. These are political, social, psychological factors that impact on the decision, because they ultimately determine the weight that is given to each </w:t>
      </w:r>
      <w:proofErr w:type="spellStart"/>
      <w:r w:rsidRPr="000B39F3">
        <w:rPr>
          <w:i/>
        </w:rPr>
        <w:t>topos</w:t>
      </w:r>
      <w:proofErr w:type="spellEnd"/>
      <w:r w:rsidRPr="000B39F3">
        <w:t>, and are much more volatile and difficult to assess.</w:t>
      </w:r>
      <w:r w:rsidRPr="000B39F3">
        <w:rPr>
          <w:rStyle w:val="FootnoteReference"/>
        </w:rPr>
        <w:footnoteReference w:id="91"/>
      </w:r>
    </w:p>
    <w:p w14:paraId="558271DB" w14:textId="7A41B57E" w:rsidR="00C1019E" w:rsidRPr="000B39F3" w:rsidRDefault="009C14F5" w:rsidP="00C67199">
      <w:pPr>
        <w:jc w:val="both"/>
      </w:pPr>
      <w:r w:rsidRPr="000B39F3">
        <w:t xml:space="preserve">Applying this theoretical approach to the ECJ’s copyright jurisprudence, we </w:t>
      </w:r>
      <w:r w:rsidR="00C1019E" w:rsidRPr="000B39F3">
        <w:t xml:space="preserve">classified </w:t>
      </w:r>
      <w:r w:rsidRPr="000B39F3">
        <w:t xml:space="preserve">patterns of reasoning </w:t>
      </w:r>
      <w:r w:rsidR="00C1019E" w:rsidRPr="000B39F3">
        <w:t>in</w:t>
      </w:r>
      <w:r w:rsidRPr="000B39F3">
        <w:t>to</w:t>
      </w:r>
      <w:r w:rsidR="00A03F48" w:rsidRPr="000B39F3">
        <w:t xml:space="preserve"> </w:t>
      </w:r>
      <w:r w:rsidR="00B03A12" w:rsidRPr="000B39F3">
        <w:t>semantic</w:t>
      </w:r>
      <w:r w:rsidR="00C1019E" w:rsidRPr="000B39F3">
        <w:t>, system</w:t>
      </w:r>
      <w:r w:rsidRPr="000B39F3">
        <w:t>at</w:t>
      </w:r>
      <w:r w:rsidR="00C1019E" w:rsidRPr="000B39F3">
        <w:t xml:space="preserve">ic, and </w:t>
      </w:r>
      <w:r w:rsidR="00B03A12" w:rsidRPr="000B39F3">
        <w:t>teleological</w:t>
      </w:r>
      <w:r w:rsidR="00A03F48" w:rsidRPr="000B39F3">
        <w:t xml:space="preserve"> </w:t>
      </w:r>
      <w:r w:rsidR="00C1019E" w:rsidRPr="000B39F3">
        <w:t>by each textual occurrence suggesting the implementation of a given legal technique.</w:t>
      </w:r>
      <w:r w:rsidRPr="000B39F3">
        <w:t xml:space="preserve"> This content analysis produces</w:t>
      </w:r>
      <w:r w:rsidR="00C1019E" w:rsidRPr="000B39F3">
        <w:t xml:space="preserve"> variables that, </w:t>
      </w:r>
      <w:r w:rsidR="00007A06" w:rsidRPr="000B39F3">
        <w:t>through</w:t>
      </w:r>
      <w:r w:rsidR="00C1019E" w:rsidRPr="000B39F3">
        <w:t xml:space="preserve"> statistical analysis, </w:t>
      </w:r>
      <w:r w:rsidR="00B03A12" w:rsidRPr="000B39F3">
        <w:t>capture</w:t>
      </w:r>
      <w:r w:rsidR="00C1019E" w:rsidRPr="000B39F3">
        <w:t xml:space="preserve"> the prevailing approac</w:t>
      </w:r>
      <w:r w:rsidR="00B03A12" w:rsidRPr="000B39F3">
        <w:t xml:space="preserve">hes of the Court and </w:t>
      </w:r>
      <w:r w:rsidR="0082665F" w:rsidRPr="000B39F3">
        <w:t xml:space="preserve">may </w:t>
      </w:r>
      <w:r w:rsidR="00B03A12" w:rsidRPr="000B39F3">
        <w:t>predict</w:t>
      </w:r>
      <w:r w:rsidR="00C1019E" w:rsidRPr="000B39F3">
        <w:t xml:space="preserve"> relationships between these and the outcome of the case.</w:t>
      </w:r>
    </w:p>
    <w:p w14:paraId="0856B075" w14:textId="77777777" w:rsidR="005F16E6" w:rsidRPr="000B39F3" w:rsidRDefault="005F16E6">
      <w:pPr>
        <w:rPr>
          <w:u w:val="single"/>
        </w:rPr>
      </w:pPr>
    </w:p>
    <w:p w14:paraId="00BC4070" w14:textId="77777777" w:rsidR="0035446E" w:rsidRPr="000B39F3" w:rsidRDefault="0093178F" w:rsidP="001E1BFF">
      <w:pPr>
        <w:jc w:val="both"/>
        <w:outlineLvl w:val="0"/>
        <w:rPr>
          <w:u w:val="single"/>
        </w:rPr>
      </w:pPr>
      <w:r w:rsidRPr="000B39F3">
        <w:rPr>
          <w:u w:val="single"/>
        </w:rPr>
        <w:t>Analysis and findings</w:t>
      </w:r>
    </w:p>
    <w:p w14:paraId="5100CA8C" w14:textId="77777777" w:rsidR="0035446E" w:rsidRPr="000B39F3" w:rsidRDefault="005F16E6" w:rsidP="001E1BFF">
      <w:pPr>
        <w:jc w:val="both"/>
        <w:outlineLvl w:val="0"/>
      </w:pPr>
      <w:r w:rsidRPr="000B39F3">
        <w:rPr>
          <w:i/>
        </w:rPr>
        <w:t>Semantic</w:t>
      </w:r>
      <w:r w:rsidR="0035446E" w:rsidRPr="000B39F3">
        <w:rPr>
          <w:i/>
        </w:rPr>
        <w:t>, Systematic or Teleological?</w:t>
      </w:r>
    </w:p>
    <w:p w14:paraId="2667501A" w14:textId="2ED188D3" w:rsidR="0035446E" w:rsidRPr="000B39F3" w:rsidRDefault="005F16E6" w:rsidP="00C67199">
      <w:pPr>
        <w:jc w:val="both"/>
      </w:pPr>
      <w:r w:rsidRPr="000B39F3">
        <w:t xml:space="preserve">In each </w:t>
      </w:r>
      <w:r w:rsidR="00F4636D" w:rsidRPr="000B39F3">
        <w:t>case</w:t>
      </w:r>
      <w:r w:rsidRPr="000B39F3">
        <w:t xml:space="preserve"> before the Court of Justice,</w:t>
      </w:r>
      <w:r w:rsidR="00F4636D" w:rsidRPr="000B39F3">
        <w:t xml:space="preserve"> discussion</w:t>
      </w:r>
      <w:r w:rsidR="0035446E" w:rsidRPr="000B39F3">
        <w:t xml:space="preserve"> starts with a reference to the </w:t>
      </w:r>
      <w:r w:rsidR="00F4636D" w:rsidRPr="000B39F3">
        <w:t xml:space="preserve">letter of the </w:t>
      </w:r>
      <w:r w:rsidR="0035446E" w:rsidRPr="000B39F3">
        <w:t xml:space="preserve">relevant legislation. In fact, the Court has expressly declared the importance of </w:t>
      </w:r>
      <w:r w:rsidRPr="000B39F3">
        <w:t>this</w:t>
      </w:r>
      <w:r w:rsidR="0035446E" w:rsidRPr="000B39F3">
        <w:t xml:space="preserve"> approach by stating that the judges cannot </w:t>
      </w:r>
      <w:r w:rsidR="00336396" w:rsidRPr="000B39F3">
        <w:t>‘</w:t>
      </w:r>
      <w:r w:rsidR="0035446E" w:rsidRPr="000B39F3">
        <w:t>interpret a provision in a manner contrary to its express wording</w:t>
      </w:r>
      <w:r w:rsidR="00336396" w:rsidRPr="000B39F3">
        <w:t>’</w:t>
      </w:r>
      <w:r w:rsidR="0035446E" w:rsidRPr="000B39F3">
        <w:t>.</w:t>
      </w:r>
      <w:r w:rsidR="0035446E" w:rsidRPr="000B39F3">
        <w:rPr>
          <w:rStyle w:val="FootnoteReference"/>
        </w:rPr>
        <w:footnoteReference w:id="92"/>
      </w:r>
      <w:r w:rsidR="00DC3D67" w:rsidRPr="000B39F3">
        <w:t xml:space="preserve"> </w:t>
      </w:r>
      <w:r w:rsidR="00F4636D" w:rsidRPr="000B39F3">
        <w:t xml:space="preserve">The </w:t>
      </w:r>
      <w:r w:rsidRPr="000B39F3">
        <w:t>semantic</w:t>
      </w:r>
      <w:r w:rsidR="00F4636D" w:rsidRPr="000B39F3">
        <w:t xml:space="preserve"> approach</w:t>
      </w:r>
      <w:r w:rsidR="0035446E" w:rsidRPr="000B39F3">
        <w:t xml:space="preserve"> therefore occurs in </w:t>
      </w:r>
      <w:r w:rsidR="008E4573" w:rsidRPr="000B39F3">
        <w:t>all</w:t>
      </w:r>
      <w:r w:rsidR="00F4636D" w:rsidRPr="000B39F3">
        <w:t xml:space="preserve"> cases of the sample. The </w:t>
      </w:r>
      <w:r w:rsidRPr="000B39F3">
        <w:t>content analysis also codes</w:t>
      </w:r>
      <w:r w:rsidR="0035446E" w:rsidRPr="000B39F3">
        <w:t xml:space="preserve"> references to the recitals of the cited directives, which we consider a</w:t>
      </w:r>
      <w:r w:rsidRPr="000B39F3">
        <w:t>s part of the semanti</w:t>
      </w:r>
      <w:r w:rsidR="00F4636D" w:rsidRPr="000B39F3">
        <w:t>c approach</w:t>
      </w:r>
      <w:r w:rsidR="0035446E" w:rsidRPr="000B39F3">
        <w:t xml:space="preserve"> because</w:t>
      </w:r>
      <w:r w:rsidR="00007A06" w:rsidRPr="000B39F3">
        <w:t xml:space="preserve"> they are</w:t>
      </w:r>
      <w:r w:rsidR="0035446E" w:rsidRPr="000B39F3">
        <w:t xml:space="preserve"> instrumental to clarify</w:t>
      </w:r>
      <w:r w:rsidR="00007A06" w:rsidRPr="000B39F3">
        <w:t>ing</w:t>
      </w:r>
      <w:r w:rsidR="0035446E" w:rsidRPr="000B39F3">
        <w:t xml:space="preserve"> the text of the law. </w:t>
      </w:r>
      <w:r w:rsidR="00F4636D" w:rsidRPr="000B39F3">
        <w:t>However, if the text of the</w:t>
      </w:r>
      <w:r w:rsidR="0035446E" w:rsidRPr="000B39F3">
        <w:t xml:space="preserve"> recitals </w:t>
      </w:r>
      <w:r w:rsidR="00F4636D" w:rsidRPr="000B39F3">
        <w:t xml:space="preserve">suggested </w:t>
      </w:r>
      <w:r w:rsidR="00AA0417" w:rsidRPr="000B39F3">
        <w:t>a</w:t>
      </w:r>
      <w:r w:rsidR="0069425F" w:rsidRPr="000B39F3">
        <w:t xml:space="preserve"> wider approach</w:t>
      </w:r>
      <w:r w:rsidR="00F4636D" w:rsidRPr="000B39F3">
        <w:t xml:space="preserve">, </w:t>
      </w:r>
      <w:r w:rsidR="0076350D" w:rsidRPr="000B39F3">
        <w:t>the recitals were coded accordingly</w:t>
      </w:r>
      <w:r w:rsidR="0035446E" w:rsidRPr="000B39F3">
        <w:t>.</w:t>
      </w:r>
      <w:r w:rsidR="0035446E" w:rsidRPr="000B39F3">
        <w:rPr>
          <w:rStyle w:val="FootnoteReference"/>
        </w:rPr>
        <w:footnoteReference w:id="93"/>
      </w:r>
      <w:r w:rsidR="00DC3D67" w:rsidRPr="000B39F3">
        <w:t xml:space="preserve"> </w:t>
      </w:r>
      <w:r w:rsidR="0069425F" w:rsidRPr="000B39F3">
        <w:t>Evidence of a seman</w:t>
      </w:r>
      <w:r w:rsidR="002C6CB7" w:rsidRPr="000B39F3">
        <w:t>tic approach was indicated by</w:t>
      </w:r>
      <w:r w:rsidR="0035446E" w:rsidRPr="000B39F3">
        <w:t xml:space="preserve"> references to particular words or expressions, for example in their different linguistic translation, or accompanied by a discussion on differences</w:t>
      </w:r>
      <w:r w:rsidR="0069425F" w:rsidRPr="000B39F3">
        <w:t xml:space="preserve"> in meaning</w:t>
      </w:r>
      <w:r w:rsidR="0035446E" w:rsidRPr="000B39F3">
        <w:t xml:space="preserve">. This evidence </w:t>
      </w:r>
      <w:r w:rsidR="002C6CB7" w:rsidRPr="000B39F3">
        <w:t>was considered in relation to other approaches in order to determine its significance</w:t>
      </w:r>
      <w:r w:rsidR="0035446E" w:rsidRPr="000B39F3">
        <w:t xml:space="preserve">. </w:t>
      </w:r>
    </w:p>
    <w:p w14:paraId="6478C252" w14:textId="28BA5252" w:rsidR="0035446E" w:rsidRPr="000B39F3" w:rsidRDefault="00336396" w:rsidP="00C67199">
      <w:pPr>
        <w:jc w:val="both"/>
      </w:pPr>
      <w:r w:rsidRPr="000B39F3">
        <w:t>‘</w:t>
      </w:r>
      <w:r w:rsidR="0035446E" w:rsidRPr="000B39F3">
        <w:t>Systematic</w:t>
      </w:r>
      <w:r w:rsidRPr="000B39F3">
        <w:t>’</w:t>
      </w:r>
      <w:r w:rsidR="0035446E" w:rsidRPr="000B39F3">
        <w:t xml:space="preserve"> (or </w:t>
      </w:r>
      <w:r w:rsidRPr="000B39F3">
        <w:t>‘</w:t>
      </w:r>
      <w:r w:rsidR="0035446E" w:rsidRPr="000B39F3">
        <w:t>contextual</w:t>
      </w:r>
      <w:r w:rsidRPr="000B39F3">
        <w:t>’</w:t>
      </w:r>
      <w:r w:rsidR="0035446E" w:rsidRPr="000B39F3">
        <w:t xml:space="preserve">) coding was applied whenever one or more contextual factors were called into play to support a given interpretation of a piece of European legislation. In these cases reference was made for example to international legislation, to the legislative history of the legal text, to other EU legislation (normally EU directives), to legal philosophy arguments, or to </w:t>
      </w:r>
      <w:r w:rsidR="00824388" w:rsidRPr="000B39F3">
        <w:t>economic</w:t>
      </w:r>
      <w:r w:rsidR="00DC3D67" w:rsidRPr="000B39F3">
        <w:t xml:space="preserve"> </w:t>
      </w:r>
      <w:r w:rsidR="001A50D6" w:rsidRPr="000B39F3">
        <w:t>factors</w:t>
      </w:r>
      <w:r w:rsidR="0035446E" w:rsidRPr="000B39F3">
        <w:t xml:space="preserve"> (impact on competition or on the internal market)</w:t>
      </w:r>
      <w:r w:rsidR="00AA0417" w:rsidRPr="000B39F3">
        <w:t>.</w:t>
      </w:r>
      <w:r w:rsidR="0035446E" w:rsidRPr="000B39F3">
        <w:t xml:space="preserve"> The </w:t>
      </w:r>
      <w:r w:rsidRPr="000B39F3">
        <w:t>‘</w:t>
      </w:r>
      <w:r w:rsidR="0035446E" w:rsidRPr="000B39F3">
        <w:t>systematic</w:t>
      </w:r>
      <w:r w:rsidRPr="000B39F3">
        <w:t>’</w:t>
      </w:r>
      <w:r w:rsidR="0035446E" w:rsidRPr="000B39F3">
        <w:t xml:space="preserve"> code was also applied to logical arguments (</w:t>
      </w:r>
      <w:r w:rsidR="0035446E" w:rsidRPr="000B39F3">
        <w:rPr>
          <w:i/>
        </w:rPr>
        <w:t xml:space="preserve">a </w:t>
      </w:r>
      <w:proofErr w:type="spellStart"/>
      <w:r w:rsidR="0035446E" w:rsidRPr="000B39F3">
        <w:rPr>
          <w:i/>
        </w:rPr>
        <w:t>contrario</w:t>
      </w:r>
      <w:proofErr w:type="spellEnd"/>
      <w:r w:rsidR="0035446E" w:rsidRPr="000B39F3">
        <w:rPr>
          <w:i/>
        </w:rPr>
        <w:t xml:space="preserve">, a fortiori, a </w:t>
      </w:r>
      <w:proofErr w:type="spellStart"/>
      <w:r w:rsidR="0035446E" w:rsidRPr="000B39F3">
        <w:rPr>
          <w:i/>
        </w:rPr>
        <w:t>pari</w:t>
      </w:r>
      <w:proofErr w:type="spellEnd"/>
      <w:r w:rsidR="0035446E" w:rsidRPr="000B39F3">
        <w:t>, by analogy) and hierarchical arguments (</w:t>
      </w:r>
      <w:proofErr w:type="spellStart"/>
      <w:r w:rsidR="0035446E" w:rsidRPr="000B39F3">
        <w:rPr>
          <w:i/>
        </w:rPr>
        <w:t>lex</w:t>
      </w:r>
      <w:proofErr w:type="spellEnd"/>
      <w:r w:rsidR="00DC3D67" w:rsidRPr="000B39F3">
        <w:rPr>
          <w:i/>
        </w:rPr>
        <w:t xml:space="preserve"> </w:t>
      </w:r>
      <w:proofErr w:type="spellStart"/>
      <w:r w:rsidR="0035446E" w:rsidRPr="000B39F3">
        <w:rPr>
          <w:i/>
        </w:rPr>
        <w:t>specialis</w:t>
      </w:r>
      <w:proofErr w:type="spellEnd"/>
      <w:r w:rsidR="0035446E" w:rsidRPr="000B39F3">
        <w:t xml:space="preserve">, </w:t>
      </w:r>
      <w:proofErr w:type="spellStart"/>
      <w:r w:rsidR="0035446E" w:rsidRPr="000B39F3">
        <w:rPr>
          <w:i/>
        </w:rPr>
        <w:t>lex</w:t>
      </w:r>
      <w:proofErr w:type="spellEnd"/>
      <w:r w:rsidR="00DC3D67" w:rsidRPr="000B39F3">
        <w:rPr>
          <w:i/>
        </w:rPr>
        <w:t xml:space="preserve"> </w:t>
      </w:r>
      <w:proofErr w:type="spellStart"/>
      <w:r w:rsidR="0035446E" w:rsidRPr="000B39F3">
        <w:rPr>
          <w:i/>
        </w:rPr>
        <w:t>generalis</w:t>
      </w:r>
      <w:proofErr w:type="spellEnd"/>
      <w:r w:rsidR="0035446E" w:rsidRPr="000B39F3">
        <w:t xml:space="preserve">, etc.) traditionally utilised in legal </w:t>
      </w:r>
      <w:r w:rsidR="0035446E" w:rsidRPr="000B39F3">
        <w:lastRenderedPageBreak/>
        <w:t>reasoning, because these arguments are normally recalled with reference to other legal sources</w:t>
      </w:r>
      <w:r w:rsidR="002C626F" w:rsidRPr="000B39F3">
        <w:t xml:space="preserve"> (law or case-</w:t>
      </w:r>
      <w:r w:rsidR="00F74464" w:rsidRPr="000B39F3">
        <w:t>law)</w:t>
      </w:r>
      <w:r w:rsidR="00D1370F" w:rsidRPr="000B39F3">
        <w:t xml:space="preserve">, which are </w:t>
      </w:r>
      <w:r w:rsidR="0035446E" w:rsidRPr="000B39F3">
        <w:t>part of the context in which the piece of EU legislation is examined.</w:t>
      </w:r>
      <w:r w:rsidR="0035446E" w:rsidRPr="000B39F3">
        <w:rPr>
          <w:rStyle w:val="FootnoteReference"/>
        </w:rPr>
        <w:footnoteReference w:id="94"/>
      </w:r>
    </w:p>
    <w:p w14:paraId="07C3AB92" w14:textId="3394DB91" w:rsidR="0035446E" w:rsidRPr="000B39F3" w:rsidRDefault="0035446E" w:rsidP="00C67199">
      <w:pPr>
        <w:jc w:val="both"/>
      </w:pPr>
      <w:r w:rsidRPr="000B39F3">
        <w:t>The analysis shows that the recourse to systematic/contextual arguments was made by Advocate</w:t>
      </w:r>
      <w:r w:rsidR="00AF2A13" w:rsidRPr="000B39F3">
        <w:t xml:space="preserve">s General </w:t>
      </w:r>
      <w:r w:rsidRPr="000B39F3">
        <w:t xml:space="preserve">much more often than by judges in the Grounds for </w:t>
      </w:r>
      <w:r w:rsidR="00EF4A18" w:rsidRPr="000B39F3">
        <w:t>Judgment</w:t>
      </w:r>
      <w:r w:rsidRPr="000B39F3">
        <w:t xml:space="preserve">. Mostly the reference was made to the legislative history of the examined piece of legislation (e.g. preparatory works of directives). However, very often the legal interpretation of European law was underpinned by the norms of international treaties (TRIPS, Berne convention, WTO Treaties, HR Convention and Charter). Less frequently, the examined cases included reference to other EU directives or to economic considerations (favourable or unfavourable impact on the Internal Market). Philosophical considerations in our sample </w:t>
      </w:r>
      <w:r w:rsidR="00D1370F" w:rsidRPr="000B39F3">
        <w:t>were rare</w:t>
      </w:r>
      <w:r w:rsidRPr="000B39F3">
        <w:t xml:space="preserve">. </w:t>
      </w:r>
    </w:p>
    <w:p w14:paraId="7899A31A" w14:textId="6231BC64" w:rsidR="0035446E" w:rsidRPr="000B39F3" w:rsidRDefault="0035446E" w:rsidP="00C67199">
      <w:pPr>
        <w:jc w:val="both"/>
      </w:pPr>
      <w:r w:rsidRPr="000B39F3">
        <w:t xml:space="preserve">A tentative explanation for this prevalence of systematic arguments in the Opinions compared to the </w:t>
      </w:r>
      <w:r w:rsidR="00EF4A18" w:rsidRPr="000B39F3">
        <w:t>Judgment</w:t>
      </w:r>
      <w:r w:rsidRPr="000B39F3">
        <w:t>s can be suggested by the institutional role of the A</w:t>
      </w:r>
      <w:r w:rsidR="00D1370F" w:rsidRPr="000B39F3">
        <w:t xml:space="preserve">dvocate General, who is </w:t>
      </w:r>
      <w:r w:rsidRPr="000B39F3">
        <w:t>charged to provide the most comprehensive and in-depth analysis of the case.</w:t>
      </w:r>
      <w:r w:rsidRPr="000B39F3">
        <w:rPr>
          <w:rStyle w:val="FootnoteReference"/>
        </w:rPr>
        <w:footnoteReference w:id="95"/>
      </w:r>
    </w:p>
    <w:p w14:paraId="39131CF3" w14:textId="65FB2296" w:rsidR="0035446E" w:rsidRPr="000B39F3" w:rsidRDefault="00336396" w:rsidP="00C67199">
      <w:pPr>
        <w:jc w:val="both"/>
      </w:pPr>
      <w:r w:rsidRPr="000B39F3">
        <w:t>‘</w:t>
      </w:r>
      <w:r w:rsidR="0035446E" w:rsidRPr="000B39F3">
        <w:t>Teleological</w:t>
      </w:r>
      <w:r w:rsidRPr="000B39F3">
        <w:t>’</w:t>
      </w:r>
      <w:r w:rsidR="0035446E" w:rsidRPr="000B39F3">
        <w:t xml:space="preserve"> or purposive coding refers to dynamic</w:t>
      </w:r>
      <w:r w:rsidR="0035446E" w:rsidRPr="000B39F3">
        <w:rPr>
          <w:rStyle w:val="FootnoteReference"/>
        </w:rPr>
        <w:footnoteReference w:id="96"/>
      </w:r>
      <w:r w:rsidR="0035446E" w:rsidRPr="000B39F3">
        <w:t xml:space="preserve"> approaches where the Court textually refers to the aim or objective (or equivalent wording) of the piece of EU legislation that it is called to interpret. For example wording such as: </w:t>
      </w:r>
      <w:r w:rsidRPr="000B39F3">
        <w:t>‘</w:t>
      </w:r>
      <w:r w:rsidR="0035446E" w:rsidRPr="000B39F3">
        <w:t>First of all, it is to be noted that the principal objective of Directive ... is to establish...</w:t>
      </w:r>
      <w:r w:rsidRPr="000B39F3">
        <w:t>’</w:t>
      </w:r>
      <w:r w:rsidR="00F46249" w:rsidRPr="000B39F3">
        <w:t xml:space="preserve"> </w:t>
      </w:r>
      <w:r w:rsidR="0035446E" w:rsidRPr="000B39F3">
        <w:t xml:space="preserve">or </w:t>
      </w:r>
      <w:r w:rsidRPr="000B39F3">
        <w:t>‘</w:t>
      </w:r>
      <w:r w:rsidR="0035446E" w:rsidRPr="000B39F3">
        <w:t>it is clear ... that the legislature intended...</w:t>
      </w:r>
      <w:r w:rsidRPr="000B39F3">
        <w:t>’</w:t>
      </w:r>
      <w:r w:rsidR="0035446E" w:rsidRPr="000B39F3">
        <w:t xml:space="preserve"> will be coded as </w:t>
      </w:r>
      <w:r w:rsidRPr="000B39F3">
        <w:t>‘</w:t>
      </w:r>
      <w:r w:rsidR="0035446E" w:rsidRPr="000B39F3">
        <w:t>teleological</w:t>
      </w:r>
      <w:r w:rsidRPr="000B39F3">
        <w:t>’</w:t>
      </w:r>
      <w:r w:rsidR="0035446E" w:rsidRPr="000B39F3">
        <w:t>. Teleological justifications were mostly recalled in order to assist in the interpretation of European directives, but in a few occurrences they were also employed to explain the reference to international treaties and to international sources of Human Rights law.</w:t>
      </w:r>
      <w:r w:rsidR="0035446E" w:rsidRPr="000B39F3">
        <w:rPr>
          <w:rStyle w:val="FootnoteReference"/>
        </w:rPr>
        <w:footnoteReference w:id="97"/>
      </w:r>
    </w:p>
    <w:p w14:paraId="2D4A5D89" w14:textId="23625899" w:rsidR="0035446E" w:rsidRPr="000B39F3" w:rsidRDefault="008D3DA8" w:rsidP="00C67199">
      <w:pPr>
        <w:jc w:val="both"/>
      </w:pPr>
      <w:r w:rsidRPr="000B39F3">
        <w:t>In addition, we have app</w:t>
      </w:r>
      <w:r w:rsidR="0035446E" w:rsidRPr="000B39F3">
        <w:t xml:space="preserve">lied the </w:t>
      </w:r>
      <w:r w:rsidR="00336396" w:rsidRPr="000B39F3">
        <w:t>‘</w:t>
      </w:r>
      <w:r w:rsidR="00D1370F" w:rsidRPr="000B39F3">
        <w:t>teleological</w:t>
      </w:r>
      <w:r w:rsidR="00336396" w:rsidRPr="000B39F3">
        <w:t>’</w:t>
      </w:r>
      <w:r w:rsidR="0035446E" w:rsidRPr="000B39F3">
        <w:t xml:space="preserve"> code to parts of text in which the Court implemented specific approaches peculiar to the EU system such as the</w:t>
      </w:r>
      <w:r w:rsidR="00F46249" w:rsidRPr="000B39F3">
        <w:t xml:space="preserve"> </w:t>
      </w:r>
      <w:proofErr w:type="spellStart"/>
      <w:r w:rsidR="0035446E" w:rsidRPr="000B39F3">
        <w:rPr>
          <w:i/>
        </w:rPr>
        <w:t>effet</w:t>
      </w:r>
      <w:proofErr w:type="spellEnd"/>
      <w:r w:rsidR="0035446E" w:rsidRPr="000B39F3">
        <w:rPr>
          <w:i/>
        </w:rPr>
        <w:t xml:space="preserve"> utile</w:t>
      </w:r>
      <w:r w:rsidR="0035446E" w:rsidRPr="000B39F3">
        <w:t xml:space="preserve"> doctrine, the proportionality principle, the uniform application of the EU law, etc.</w:t>
      </w:r>
      <w:r w:rsidR="0035446E" w:rsidRPr="000B39F3">
        <w:rPr>
          <w:rStyle w:val="FootnoteReference"/>
        </w:rPr>
        <w:footnoteReference w:id="98"/>
      </w:r>
      <w:r w:rsidR="00F46249" w:rsidRPr="000B39F3">
        <w:t xml:space="preserve"> Peculiar EU approaches lean towards </w:t>
      </w:r>
      <w:r w:rsidR="0035446E" w:rsidRPr="000B39F3">
        <w:t>teleological (dynamic)</w:t>
      </w:r>
      <w:r w:rsidR="00F46249" w:rsidRPr="000B39F3">
        <w:t xml:space="preserve"> reasoning</w:t>
      </w:r>
      <w:r w:rsidR="0035446E" w:rsidRPr="000B39F3">
        <w:t xml:space="preserve"> more than traditional and </w:t>
      </w:r>
      <w:r w:rsidR="00336396" w:rsidRPr="000B39F3">
        <w:t>‘</w:t>
      </w:r>
      <w:r w:rsidR="0035446E" w:rsidRPr="000B39F3">
        <w:t>orthodox</w:t>
      </w:r>
      <w:r w:rsidR="00336396" w:rsidRPr="000B39F3">
        <w:t>’</w:t>
      </w:r>
      <w:r w:rsidR="0035446E" w:rsidRPr="000B39F3">
        <w:t xml:space="preserve"> interpretative technique</w:t>
      </w:r>
      <w:r w:rsidR="00D1370F" w:rsidRPr="000B39F3">
        <w:t>s</w:t>
      </w:r>
      <w:r w:rsidR="0035446E" w:rsidRPr="000B39F3">
        <w:t>.</w:t>
      </w:r>
    </w:p>
    <w:p w14:paraId="18F320A5" w14:textId="4D63171E" w:rsidR="0035446E" w:rsidRPr="000B39F3" w:rsidRDefault="002B2DB6" w:rsidP="00C67199">
      <w:pPr>
        <w:jc w:val="both"/>
      </w:pPr>
      <w:r w:rsidRPr="000B39F3">
        <w:t>A large majority (</w:t>
      </w:r>
      <w:r w:rsidR="006D4A73" w:rsidRPr="000B39F3">
        <w:t xml:space="preserve">eighty-seven </w:t>
      </w:r>
      <w:r w:rsidRPr="000B39F3">
        <w:t>per cent)</w:t>
      </w:r>
      <w:r w:rsidR="008D3DA8" w:rsidRPr="000B39F3">
        <w:t xml:space="preserve"> of the </w:t>
      </w:r>
      <w:r w:rsidR="00EF4A18" w:rsidRPr="000B39F3">
        <w:t>judgment</w:t>
      </w:r>
      <w:r w:rsidR="0035446E" w:rsidRPr="000B39F3">
        <w:t xml:space="preserve">s referred to the aim of the </w:t>
      </w:r>
      <w:r w:rsidR="000249CF" w:rsidRPr="000B39F3">
        <w:t>legislator while arguing for a particular</w:t>
      </w:r>
      <w:r w:rsidR="0035446E" w:rsidRPr="000B39F3">
        <w:t xml:space="preserve"> legal interpretation of the text. This figure includes also the peculiar approaches of European law, which are however much less frequent than the references to the objective of the legislation.</w:t>
      </w:r>
      <w:r w:rsidR="0035446E" w:rsidRPr="000B39F3">
        <w:rPr>
          <w:rStyle w:val="FootnoteReference"/>
        </w:rPr>
        <w:footnoteReference w:id="99"/>
      </w:r>
      <w:r w:rsidR="0035446E" w:rsidRPr="000B39F3">
        <w:t xml:space="preserve"> It is important t</w:t>
      </w:r>
      <w:r w:rsidR="00AA0417" w:rsidRPr="000B39F3">
        <w:t>o note that teleological</w:t>
      </w:r>
      <w:r w:rsidR="0035446E" w:rsidRPr="000B39F3">
        <w:t xml:space="preserve"> justifications are normally </w:t>
      </w:r>
      <w:r w:rsidR="000E59E7" w:rsidRPr="000B39F3">
        <w:t>mentioned</w:t>
      </w:r>
      <w:r w:rsidR="000249CF" w:rsidRPr="000B39F3">
        <w:t xml:space="preserve"> in addition to semantic</w:t>
      </w:r>
      <w:r w:rsidR="0035446E" w:rsidRPr="000B39F3">
        <w:t xml:space="preserve"> considerations, and often in addition to systematic/contextual justifications. Interestingly, </w:t>
      </w:r>
      <w:r w:rsidRPr="000B39F3">
        <w:t>Advocate</w:t>
      </w:r>
      <w:r w:rsidR="00AF2A13" w:rsidRPr="000B39F3">
        <w:t>s General</w:t>
      </w:r>
      <w:r w:rsidRPr="000B39F3">
        <w:t xml:space="preserve"> recalled the intention of the legislator more often than judges in their rulings, although t</w:t>
      </w:r>
      <w:r w:rsidR="0035446E" w:rsidRPr="000B39F3">
        <w:t xml:space="preserve">he asymmetry between Opinions and </w:t>
      </w:r>
      <w:r w:rsidR="00EF4A18" w:rsidRPr="000B39F3">
        <w:t>Judgment</w:t>
      </w:r>
      <w:r w:rsidR="0035446E" w:rsidRPr="000B39F3">
        <w:t xml:space="preserve">s is </w:t>
      </w:r>
      <w:r w:rsidRPr="000B39F3">
        <w:t xml:space="preserve">here </w:t>
      </w:r>
      <w:r w:rsidR="0035446E" w:rsidRPr="000B39F3">
        <w:t xml:space="preserve">less evident </w:t>
      </w:r>
      <w:r w:rsidRPr="000B39F3">
        <w:t xml:space="preserve">than in the use of </w:t>
      </w:r>
      <w:r w:rsidR="0035446E" w:rsidRPr="000B39F3">
        <w:t xml:space="preserve">systematic arguments. </w:t>
      </w:r>
      <w:r w:rsidRPr="000B39F3">
        <w:t xml:space="preserve">Again, </w:t>
      </w:r>
      <w:r w:rsidR="0035446E" w:rsidRPr="000B39F3">
        <w:t xml:space="preserve">this asymmetry </w:t>
      </w:r>
      <w:r w:rsidRPr="000B39F3">
        <w:t xml:space="preserve">could be </w:t>
      </w:r>
      <w:r w:rsidR="00F46249" w:rsidRPr="000B39F3">
        <w:t>attributed</w:t>
      </w:r>
      <w:r w:rsidRPr="000B39F3">
        <w:t xml:space="preserve"> </w:t>
      </w:r>
      <w:r w:rsidR="0035446E" w:rsidRPr="000B39F3">
        <w:t xml:space="preserve">to the fact that the Advocate General provides a more comprehensive analysis of the case. </w:t>
      </w:r>
    </w:p>
    <w:p w14:paraId="4238258B" w14:textId="5BFF2EEB" w:rsidR="0035446E" w:rsidRPr="000B39F3" w:rsidRDefault="00F46249" w:rsidP="00C67199">
      <w:pPr>
        <w:jc w:val="both"/>
      </w:pPr>
      <w:r w:rsidRPr="000B39F3">
        <w:t>Overall, t</w:t>
      </w:r>
      <w:r w:rsidR="00AA0417" w:rsidRPr="000B39F3">
        <w:t xml:space="preserve">he </w:t>
      </w:r>
      <w:r w:rsidRPr="000B39F3">
        <w:t>analysis</w:t>
      </w:r>
      <w:r w:rsidR="0035446E" w:rsidRPr="000B39F3">
        <w:t xml:space="preserve"> reveals a prevalence of semantic and teleological approaches over contextual approaches, more evident in the </w:t>
      </w:r>
      <w:r w:rsidR="00EF4A18" w:rsidRPr="000B39F3">
        <w:t>Judgment</w:t>
      </w:r>
      <w:r w:rsidR="0035446E" w:rsidRPr="000B39F3">
        <w:t>s than in the Opinions. This balance, moreover, did not suffer extreme variations over the years, neith</w:t>
      </w:r>
      <w:r w:rsidR="006126A0" w:rsidRPr="000B39F3">
        <w:t xml:space="preserve">er in the Grounds for </w:t>
      </w:r>
      <w:r w:rsidR="00EF4A18" w:rsidRPr="000B39F3">
        <w:t>Judgment</w:t>
      </w:r>
      <w:r w:rsidR="0035446E" w:rsidRPr="000B39F3">
        <w:t xml:space="preserve"> or in the Opinions of the Advocate</w:t>
      </w:r>
      <w:r w:rsidR="00AF2A13" w:rsidRPr="000B39F3">
        <w:t>s General</w:t>
      </w:r>
      <w:r w:rsidR="0035446E" w:rsidRPr="000B39F3">
        <w:t xml:space="preserve">. Importantly, one occurrence was detected of an explicit argument assessing one of these approaches </w:t>
      </w:r>
      <w:r w:rsidR="0035446E" w:rsidRPr="000B39F3">
        <w:rPr>
          <w:i/>
        </w:rPr>
        <w:t>against</w:t>
      </w:r>
      <w:r w:rsidR="0035446E" w:rsidRPr="000B39F3">
        <w:t xml:space="preserve"> the other. In</w:t>
      </w:r>
      <w:r w:rsidR="0082665F" w:rsidRPr="000B39F3">
        <w:t xml:space="preserve"> the</w:t>
      </w:r>
      <w:r w:rsidRPr="000B39F3">
        <w:t xml:space="preserve"> </w:t>
      </w:r>
      <w:r w:rsidR="0035446E" w:rsidRPr="000B39F3">
        <w:rPr>
          <w:i/>
        </w:rPr>
        <w:t>DR</w:t>
      </w:r>
      <w:r w:rsidRPr="000B39F3">
        <w:rPr>
          <w:i/>
        </w:rPr>
        <w:t xml:space="preserve"> </w:t>
      </w:r>
      <w:r w:rsidR="0082665F" w:rsidRPr="000B39F3">
        <w:t>case</w:t>
      </w:r>
      <w:r w:rsidR="0035446E" w:rsidRPr="000B39F3">
        <w:t>,</w:t>
      </w:r>
      <w:r w:rsidRPr="000B39F3">
        <w:t xml:space="preserve"> </w:t>
      </w:r>
      <w:r w:rsidR="0035446E" w:rsidRPr="000B39F3">
        <w:t xml:space="preserve">the </w:t>
      </w:r>
      <w:r w:rsidR="00EF4A18" w:rsidRPr="000B39F3">
        <w:t>Judgment</w:t>
      </w:r>
      <w:r w:rsidR="0035446E" w:rsidRPr="000B39F3">
        <w:t xml:space="preserve"> specifies </w:t>
      </w:r>
      <w:r w:rsidR="00336396" w:rsidRPr="000B39F3">
        <w:t>‘</w:t>
      </w:r>
      <w:r w:rsidR="0035446E" w:rsidRPr="000B39F3">
        <w:t xml:space="preserve">a purely literal interpretation of the </w:t>
      </w:r>
      <w:r w:rsidR="0035446E" w:rsidRPr="000B39F3">
        <w:lastRenderedPageBreak/>
        <w:t xml:space="preserve">recital at issue does not, in itself, provide an answer to the question referred since it inevitably results in an outcome which proves to be </w:t>
      </w:r>
      <w:r w:rsidR="0035446E" w:rsidRPr="000B39F3">
        <w:rPr>
          <w:i/>
        </w:rPr>
        <w:t xml:space="preserve">contra </w:t>
      </w:r>
      <w:proofErr w:type="spellStart"/>
      <w:r w:rsidR="0035446E" w:rsidRPr="000B39F3">
        <w:rPr>
          <w:i/>
        </w:rPr>
        <w:t>legem</w:t>
      </w:r>
      <w:proofErr w:type="spellEnd"/>
      <w:r w:rsidR="00336396" w:rsidRPr="000B39F3">
        <w:rPr>
          <w:i/>
        </w:rPr>
        <w:t>’</w:t>
      </w:r>
      <w:r w:rsidR="0035446E" w:rsidRPr="000B39F3">
        <w:rPr>
          <w:i/>
        </w:rPr>
        <w:t>.</w:t>
      </w:r>
      <w:r w:rsidR="0035446E" w:rsidRPr="000B39F3">
        <w:rPr>
          <w:rStyle w:val="FootnoteReference"/>
        </w:rPr>
        <w:footnoteReference w:id="100"/>
      </w:r>
      <w:r w:rsidRPr="000B39F3">
        <w:rPr>
          <w:i/>
        </w:rPr>
        <w:t xml:space="preserve"> </w:t>
      </w:r>
      <w:r w:rsidR="0035446E" w:rsidRPr="000B39F3">
        <w:t>The teleological interpretation of the legal text was therefore expl</w:t>
      </w:r>
      <w:r w:rsidR="00190E0D" w:rsidRPr="000B39F3">
        <w:t>icitly preferred to the semantic</w:t>
      </w:r>
      <w:r w:rsidR="0035446E" w:rsidRPr="000B39F3">
        <w:t xml:space="preserve"> interpretation. </w:t>
      </w:r>
      <w:r w:rsidR="006126A0" w:rsidRPr="000B39F3">
        <w:t xml:space="preserve">The aim of the legislator, in </w:t>
      </w:r>
      <w:r w:rsidR="006126A0" w:rsidRPr="000B39F3">
        <w:rPr>
          <w:i/>
        </w:rPr>
        <w:t>DR</w:t>
      </w:r>
      <w:r w:rsidR="006126A0" w:rsidRPr="000B39F3">
        <w:t>, was also called into play to settle the contrast among diverging translations of the directive</w:t>
      </w:r>
      <w:r w:rsidR="0035446E" w:rsidRPr="000B39F3">
        <w:t>.</w:t>
      </w:r>
      <w:r w:rsidR="0035446E" w:rsidRPr="000B39F3">
        <w:rPr>
          <w:rStyle w:val="FootnoteReference"/>
        </w:rPr>
        <w:footnoteReference w:id="101"/>
      </w:r>
      <w:r w:rsidRPr="000B39F3">
        <w:t xml:space="preserve"> T</w:t>
      </w:r>
      <w:r w:rsidR="0035446E" w:rsidRPr="000B39F3">
        <w:t>hese are exceptional findings in the sample.</w:t>
      </w:r>
      <w:r w:rsidRPr="000B39F3">
        <w:t xml:space="preserve"> </w:t>
      </w:r>
      <w:r w:rsidR="0035446E" w:rsidRPr="000B39F3">
        <w:t>Mostly, the text of the examined legal cases revealed an implementation of seve</w:t>
      </w:r>
      <w:r w:rsidR="00190E0D" w:rsidRPr="000B39F3">
        <w:t>ral combined approaches (semantic, systematic and teleological</w:t>
      </w:r>
      <w:r w:rsidR="0035446E" w:rsidRPr="000B39F3">
        <w:t xml:space="preserve">), supporting each other. </w:t>
      </w:r>
    </w:p>
    <w:p w14:paraId="07AA51CA" w14:textId="77777777" w:rsidR="00CB3084" w:rsidRPr="000B39F3" w:rsidRDefault="00CB3084" w:rsidP="00C67199">
      <w:pPr>
        <w:jc w:val="both"/>
      </w:pPr>
    </w:p>
    <w:p w14:paraId="7F0529E5" w14:textId="114829F2" w:rsidR="0035446E" w:rsidRPr="000B39F3" w:rsidRDefault="0035446E" w:rsidP="001E1BFF">
      <w:pPr>
        <w:jc w:val="both"/>
        <w:outlineLvl w:val="0"/>
      </w:pPr>
      <w:r w:rsidRPr="000B39F3">
        <w:rPr>
          <w:i/>
        </w:rPr>
        <w:t>Reversing</w:t>
      </w:r>
      <w:r w:rsidR="00F46249" w:rsidRPr="000B39F3">
        <w:rPr>
          <w:i/>
        </w:rPr>
        <w:t xml:space="preserve"> </w:t>
      </w:r>
      <w:proofErr w:type="spellStart"/>
      <w:r w:rsidR="003A4FCF" w:rsidRPr="000B39F3">
        <w:rPr>
          <w:i/>
        </w:rPr>
        <w:t>vs</w:t>
      </w:r>
      <w:proofErr w:type="spellEnd"/>
      <w:r w:rsidR="00F46249" w:rsidRPr="000B39F3">
        <w:rPr>
          <w:i/>
        </w:rPr>
        <w:t xml:space="preserve"> </w:t>
      </w:r>
      <w:r w:rsidR="003A4FCF" w:rsidRPr="000B39F3">
        <w:rPr>
          <w:i/>
        </w:rPr>
        <w:t>Consolidating previo</w:t>
      </w:r>
      <w:r w:rsidR="002C626F" w:rsidRPr="000B39F3">
        <w:rPr>
          <w:i/>
        </w:rPr>
        <w:t xml:space="preserve">us </w:t>
      </w:r>
      <w:proofErr w:type="gramStart"/>
      <w:r w:rsidR="002C626F" w:rsidRPr="000B39F3">
        <w:rPr>
          <w:i/>
        </w:rPr>
        <w:t>Case-</w:t>
      </w:r>
      <w:r w:rsidRPr="000B39F3">
        <w:rPr>
          <w:i/>
        </w:rPr>
        <w:t>Law</w:t>
      </w:r>
      <w:proofErr w:type="gramEnd"/>
    </w:p>
    <w:p w14:paraId="042545AF" w14:textId="77777777" w:rsidR="0035446E" w:rsidRPr="000B39F3" w:rsidRDefault="002C626F" w:rsidP="00C67199">
      <w:pPr>
        <w:jc w:val="both"/>
      </w:pPr>
      <w:r w:rsidRPr="000B39F3">
        <w:t xml:space="preserve">Reference to European </w:t>
      </w:r>
      <w:proofErr w:type="gramStart"/>
      <w:r w:rsidRPr="000B39F3">
        <w:t>case-</w:t>
      </w:r>
      <w:r w:rsidR="0035446E" w:rsidRPr="000B39F3">
        <w:t>law</w:t>
      </w:r>
      <w:proofErr w:type="gramEnd"/>
      <w:r w:rsidR="0035446E" w:rsidRPr="000B39F3">
        <w:t xml:space="preserve"> is undoubtedly a very important </w:t>
      </w:r>
      <w:r w:rsidR="007F7FB9" w:rsidRPr="000B39F3">
        <w:t>canon</w:t>
      </w:r>
      <w:r w:rsidR="0035446E" w:rsidRPr="000B39F3">
        <w:t xml:space="preserve"> of interpretation implemented by the European Court. This is normally ascribed to the indeterminate and fragmentary nature of European law. </w:t>
      </w:r>
      <w:r w:rsidR="007F7FB9" w:rsidRPr="000B39F3">
        <w:t>Both</w:t>
      </w:r>
      <w:r w:rsidR="0035446E" w:rsidRPr="000B39F3">
        <w:t xml:space="preserve"> the above-mentioned studies on the European jurisprudence have recognised the important weight of this interpretative </w:t>
      </w:r>
      <w:r w:rsidR="007F416A" w:rsidRPr="000B39F3">
        <w:t>approach</w:t>
      </w:r>
      <w:r w:rsidR="0035446E" w:rsidRPr="000B39F3">
        <w:t xml:space="preserve"> of the Court.</w:t>
      </w:r>
      <w:r w:rsidR="0035446E" w:rsidRPr="000B39F3">
        <w:rPr>
          <w:rStyle w:val="FootnoteReference"/>
        </w:rPr>
        <w:footnoteReference w:id="102"/>
      </w:r>
      <w:r w:rsidR="0035446E" w:rsidRPr="000B39F3">
        <w:t xml:space="preserve"> Our analysis confirms these findings.</w:t>
      </w:r>
    </w:p>
    <w:p w14:paraId="24EEF80F" w14:textId="4CBF802D" w:rsidR="0035446E" w:rsidRPr="000B39F3" w:rsidRDefault="0035446E" w:rsidP="00C67199">
      <w:pPr>
        <w:jc w:val="both"/>
      </w:pPr>
      <w:r w:rsidRPr="000B39F3">
        <w:t xml:space="preserve">In most of the cases examined, both within the Grounds of </w:t>
      </w:r>
      <w:r w:rsidR="00EF4A18" w:rsidRPr="000B39F3">
        <w:t>Judgment</w:t>
      </w:r>
      <w:r w:rsidRPr="000B39F3">
        <w:t xml:space="preserve"> or the Opinion, reference was made to at least a few inst</w:t>
      </w:r>
      <w:r w:rsidR="0082665F" w:rsidRPr="000B39F3">
        <w:t xml:space="preserve">ances of </w:t>
      </w:r>
      <w:r w:rsidR="002C626F" w:rsidRPr="000B39F3">
        <w:t>previous</w:t>
      </w:r>
      <w:r w:rsidR="0082665F" w:rsidRPr="000B39F3">
        <w:t xml:space="preserve"> ECJ</w:t>
      </w:r>
      <w:r w:rsidR="002C626F" w:rsidRPr="000B39F3">
        <w:t xml:space="preserve"> </w:t>
      </w:r>
      <w:proofErr w:type="gramStart"/>
      <w:r w:rsidR="002C626F" w:rsidRPr="000B39F3">
        <w:t>case-</w:t>
      </w:r>
      <w:r w:rsidRPr="000B39F3">
        <w:t>law</w:t>
      </w:r>
      <w:proofErr w:type="gramEnd"/>
      <w:r w:rsidRPr="000B39F3">
        <w:t xml:space="preserve">. Some of these previous rulings were recalled to confirm the position of the Court on a point that had already </w:t>
      </w:r>
      <w:r w:rsidR="007F7FB9" w:rsidRPr="000B39F3">
        <w:t>been discussed in another case. O</w:t>
      </w:r>
      <w:r w:rsidRPr="000B39F3">
        <w:t xml:space="preserve">ther rulings were cited in order to distinguish </w:t>
      </w:r>
      <w:r w:rsidR="007F7FB9" w:rsidRPr="000B39F3">
        <w:t xml:space="preserve">the factual situation from that of </w:t>
      </w:r>
      <w:r w:rsidRPr="000B39F3">
        <w:t xml:space="preserve">the previous case. </w:t>
      </w:r>
      <w:r w:rsidR="00336396" w:rsidRPr="000B39F3">
        <w:t>‘</w:t>
      </w:r>
      <w:r w:rsidRPr="000B39F3">
        <w:t>Reversal</w:t>
      </w:r>
      <w:r w:rsidR="00336396" w:rsidRPr="000B39F3">
        <w:t>’</w:t>
      </w:r>
      <w:r w:rsidRPr="000B39F3">
        <w:t xml:space="preserve"> coding in our analysis was applied to instances of open criticism and distance take</w:t>
      </w:r>
      <w:r w:rsidR="00612AF9" w:rsidRPr="000B39F3">
        <w:t>n from the Court</w:t>
      </w:r>
      <w:r w:rsidR="00336396" w:rsidRPr="000B39F3">
        <w:t>’</w:t>
      </w:r>
      <w:r w:rsidR="007F416A" w:rsidRPr="000B39F3">
        <w:t xml:space="preserve">s previous </w:t>
      </w:r>
      <w:proofErr w:type="gramStart"/>
      <w:r w:rsidR="007F416A" w:rsidRPr="000B39F3">
        <w:t>case</w:t>
      </w:r>
      <w:r w:rsidR="002C626F" w:rsidRPr="000B39F3">
        <w:t>-</w:t>
      </w:r>
      <w:r w:rsidRPr="000B39F3">
        <w:t>law</w:t>
      </w:r>
      <w:proofErr w:type="gramEnd"/>
      <w:r w:rsidRPr="000B39F3">
        <w:t>, whereas every other self-referencing of the Court, intended as citation of previou</w:t>
      </w:r>
      <w:r w:rsidR="002C626F" w:rsidRPr="000B39F3">
        <w:t>s case-</w:t>
      </w:r>
      <w:r w:rsidRPr="000B39F3">
        <w:t xml:space="preserve">law in support of the legal reasoning, was coded as </w:t>
      </w:r>
      <w:r w:rsidR="00336396" w:rsidRPr="000B39F3">
        <w:t>‘</w:t>
      </w:r>
      <w:r w:rsidRPr="000B39F3">
        <w:t>consolidation</w:t>
      </w:r>
      <w:r w:rsidR="00336396" w:rsidRPr="000B39F3">
        <w:t>’</w:t>
      </w:r>
      <w:r w:rsidRPr="000B39F3">
        <w:t>.</w:t>
      </w:r>
    </w:p>
    <w:p w14:paraId="7EAF14BD" w14:textId="2659D718" w:rsidR="0035446E" w:rsidRPr="000B39F3" w:rsidRDefault="0035446E" w:rsidP="00C67199">
      <w:pPr>
        <w:jc w:val="both"/>
      </w:pPr>
      <w:r w:rsidRPr="000B39F3">
        <w:t xml:space="preserve">In order to </w:t>
      </w:r>
      <w:r w:rsidR="00F46249" w:rsidRPr="000B39F3">
        <w:t>assign</w:t>
      </w:r>
      <w:r w:rsidRPr="000B39F3">
        <w:t xml:space="preserve"> a</w:t>
      </w:r>
      <w:r w:rsidR="00F46249" w:rsidRPr="000B39F3">
        <w:t xml:space="preserve"> </w:t>
      </w:r>
      <w:r w:rsidR="00336396" w:rsidRPr="000B39F3">
        <w:t>‘</w:t>
      </w:r>
      <w:r w:rsidRPr="000B39F3">
        <w:t>reversal</w:t>
      </w:r>
      <w:r w:rsidR="00336396" w:rsidRPr="000B39F3">
        <w:t>’</w:t>
      </w:r>
      <w:r w:rsidR="00F46249" w:rsidRPr="000B39F3">
        <w:t xml:space="preserve"> </w:t>
      </w:r>
      <w:r w:rsidRPr="000B39F3">
        <w:t>coding to a</w:t>
      </w:r>
      <w:r w:rsidR="00F46249" w:rsidRPr="000B39F3">
        <w:t xml:space="preserve"> case, </w:t>
      </w:r>
      <w:r w:rsidRPr="000B39F3">
        <w:t>evidence of an express change of route of the Court</w:t>
      </w:r>
      <w:r w:rsidR="00F46249" w:rsidRPr="000B39F3">
        <w:t xml:space="preserve"> was required</w:t>
      </w:r>
      <w:r w:rsidRPr="000B39F3">
        <w:t xml:space="preserve">. For example, the landmark case </w:t>
      </w:r>
      <w:r w:rsidRPr="000B39F3">
        <w:rPr>
          <w:i/>
        </w:rPr>
        <w:t>HAG II</w:t>
      </w:r>
      <w:r w:rsidRPr="000B39F3">
        <w:rPr>
          <w:rStyle w:val="FootnoteReference"/>
        </w:rPr>
        <w:footnoteReference w:id="103"/>
      </w:r>
      <w:r w:rsidRPr="000B39F3">
        <w:t xml:space="preserve"> studied by EU intellectual property commentators</w:t>
      </w:r>
      <w:r w:rsidRPr="000B39F3">
        <w:rPr>
          <w:rStyle w:val="FootnoteReference"/>
        </w:rPr>
        <w:footnoteReference w:id="104"/>
      </w:r>
      <w:r w:rsidRPr="000B39F3">
        <w:t xml:space="preserve"> as the most obvious example of reversal of the ECJ jurisprudence (reversing </w:t>
      </w:r>
      <w:r w:rsidRPr="000B39F3">
        <w:rPr>
          <w:i/>
        </w:rPr>
        <w:t>HAG I</w:t>
      </w:r>
      <w:r w:rsidRPr="000B39F3">
        <w:rPr>
          <w:rStyle w:val="FootnoteReference"/>
        </w:rPr>
        <w:footnoteReference w:id="105"/>
      </w:r>
      <w:r w:rsidRPr="000B39F3">
        <w:t xml:space="preserve">), includes in its documents </w:t>
      </w:r>
      <w:r w:rsidR="00F46249" w:rsidRPr="000B39F3">
        <w:t>explicit</w:t>
      </w:r>
      <w:r w:rsidRPr="000B39F3">
        <w:t xml:space="preserve"> statements of criticism of</w:t>
      </w:r>
      <w:r w:rsidR="002C626F" w:rsidRPr="000B39F3">
        <w:t xml:space="preserve"> the previous case-</w:t>
      </w:r>
      <w:r w:rsidR="0000778B" w:rsidRPr="000B39F3">
        <w:t>law, such as</w:t>
      </w:r>
      <w:r w:rsidRPr="000B39F3">
        <w:t xml:space="preserve">: </w:t>
      </w:r>
      <w:r w:rsidR="00336396" w:rsidRPr="000B39F3">
        <w:t>‘</w:t>
      </w:r>
      <w:r w:rsidRPr="000B39F3">
        <w:t xml:space="preserve">With the benefit of hindsight, one can see </w:t>
      </w:r>
      <w:r w:rsidR="003A4FCF" w:rsidRPr="000B39F3">
        <w:t xml:space="preserve">there were in the previous case </w:t>
      </w:r>
      <w:r w:rsidRPr="000B39F3">
        <w:t>law signs of an unduly negative attitude to the value of trademarks</w:t>
      </w:r>
      <w:r w:rsidR="00336396" w:rsidRPr="000B39F3">
        <w:t>’</w:t>
      </w:r>
      <w:r w:rsidRPr="000B39F3">
        <w:rPr>
          <w:rStyle w:val="FootnoteReference"/>
        </w:rPr>
        <w:footnoteReference w:id="106"/>
      </w:r>
      <w:r w:rsidRPr="000B39F3">
        <w:t xml:space="preserve"> or </w:t>
      </w:r>
      <w:r w:rsidR="00336396" w:rsidRPr="000B39F3">
        <w:t>‘</w:t>
      </w:r>
      <w:r w:rsidRPr="000B39F3">
        <w:t>one might perhaps have</w:t>
      </w:r>
      <w:r w:rsidR="0000778B" w:rsidRPr="000B39F3">
        <w:t xml:space="preserve"> expected to find in the Court</w:t>
      </w:r>
      <w:r w:rsidR="00336396" w:rsidRPr="000B39F3">
        <w:t>’</w:t>
      </w:r>
      <w:r w:rsidRPr="000B39F3">
        <w:t xml:space="preserve">s judgment in </w:t>
      </w:r>
      <w:r w:rsidRPr="000B39F3">
        <w:rPr>
          <w:i/>
        </w:rPr>
        <w:t>HAG</w:t>
      </w:r>
      <w:r w:rsidRPr="000B39F3">
        <w:t xml:space="preserve"> I a detailed, convincing statement of the reasons that led it to give birth to this</w:t>
      </w:r>
      <w:r w:rsidR="0000778B" w:rsidRPr="000B39F3">
        <w:t xml:space="preserve"> new principle of Community law</w:t>
      </w:r>
      <w:r w:rsidRPr="000B39F3">
        <w:t>. But that is not the case.</w:t>
      </w:r>
      <w:r w:rsidR="00336396" w:rsidRPr="000B39F3">
        <w:t>’</w:t>
      </w:r>
      <w:r w:rsidRPr="000B39F3">
        <w:rPr>
          <w:rStyle w:val="FootnoteReference"/>
        </w:rPr>
        <w:footnoteReference w:id="107"/>
      </w:r>
    </w:p>
    <w:p w14:paraId="3E3049B5" w14:textId="77281DC2" w:rsidR="0035446E" w:rsidRPr="000B39F3" w:rsidRDefault="0035446E" w:rsidP="00C67199">
      <w:pPr>
        <w:jc w:val="both"/>
      </w:pPr>
      <w:r w:rsidRPr="000B39F3">
        <w:t xml:space="preserve">In our sample, the Court </w:t>
      </w:r>
      <w:r w:rsidR="00EB5F61" w:rsidRPr="000B39F3">
        <w:t xml:space="preserve">cites on average almost seven </w:t>
      </w:r>
      <w:r w:rsidR="00310750" w:rsidRPr="000B39F3">
        <w:t xml:space="preserve">other </w:t>
      </w:r>
      <w:r w:rsidR="00EB5F61" w:rsidRPr="000B39F3">
        <w:t xml:space="preserve">cases in each </w:t>
      </w:r>
      <w:r w:rsidR="00EF4A18" w:rsidRPr="000B39F3">
        <w:t>judgment</w:t>
      </w:r>
      <w:r w:rsidR="00EB5F61" w:rsidRPr="000B39F3">
        <w:t>.</w:t>
      </w:r>
      <w:r w:rsidR="00400241" w:rsidRPr="000B39F3">
        <w:t xml:space="preserve"> </w:t>
      </w:r>
      <w:r w:rsidR="00E32974" w:rsidRPr="000B39F3">
        <w:t xml:space="preserve">We found hardly any case in which </w:t>
      </w:r>
      <w:r w:rsidR="00EB5F61" w:rsidRPr="000B39F3">
        <w:t>no reference</w:t>
      </w:r>
      <w:r w:rsidR="00EB5F61" w:rsidRPr="000B39F3">
        <w:rPr>
          <w:rStyle w:val="FootnoteReference"/>
        </w:rPr>
        <w:footnoteReference w:id="108"/>
      </w:r>
      <w:r w:rsidR="00400241" w:rsidRPr="000B39F3">
        <w:t xml:space="preserve"> </w:t>
      </w:r>
      <w:r w:rsidR="00E32974" w:rsidRPr="000B39F3">
        <w:t>was</w:t>
      </w:r>
      <w:r w:rsidR="00EB5F61" w:rsidRPr="000B39F3">
        <w:t xml:space="preserve"> made</w:t>
      </w:r>
      <w:r w:rsidR="002C626F" w:rsidRPr="000B39F3">
        <w:t xml:space="preserve"> to previous </w:t>
      </w:r>
      <w:proofErr w:type="gramStart"/>
      <w:r w:rsidR="002C626F" w:rsidRPr="000B39F3">
        <w:t>case-</w:t>
      </w:r>
      <w:r w:rsidR="00E32974" w:rsidRPr="000B39F3">
        <w:t>law</w:t>
      </w:r>
      <w:proofErr w:type="gramEnd"/>
      <w:r w:rsidR="00E32974" w:rsidRPr="000B39F3">
        <w:t xml:space="preserve">. </w:t>
      </w:r>
      <w:r w:rsidR="00310750" w:rsidRPr="000B39F3">
        <w:t>At the other extreme</w:t>
      </w:r>
      <w:r w:rsidR="00E32974" w:rsidRPr="000B39F3">
        <w:t>, in one case 28 other cases were cited</w:t>
      </w:r>
      <w:r w:rsidR="00EB5F61" w:rsidRPr="000B39F3">
        <w:t>.</w:t>
      </w:r>
      <w:r w:rsidRPr="000B39F3">
        <w:rPr>
          <w:rStyle w:val="FootnoteReference"/>
        </w:rPr>
        <w:footnoteReference w:id="109"/>
      </w:r>
      <w:r w:rsidR="0000778B" w:rsidRPr="000B39F3">
        <w:t xml:space="preserve"> T</w:t>
      </w:r>
      <w:r w:rsidRPr="000B39F3">
        <w:t>he self-referencing attitude of the Court in copyright cas</w:t>
      </w:r>
      <w:r w:rsidR="003D2A5E" w:rsidRPr="000B39F3">
        <w:t>es appears very strong, with 312</w:t>
      </w:r>
      <w:r w:rsidRPr="000B39F3">
        <w:t xml:space="preserve"> previous </w:t>
      </w:r>
      <w:r w:rsidR="00EB5F61" w:rsidRPr="000B39F3">
        <w:t xml:space="preserve">cases of the ECJ cited within </w:t>
      </w:r>
      <w:r w:rsidR="0000778B" w:rsidRPr="000B39F3">
        <w:t xml:space="preserve">the </w:t>
      </w:r>
      <w:r w:rsidR="00400241" w:rsidRPr="000B39F3">
        <w:t>4</w:t>
      </w:r>
      <w:r w:rsidR="003D2A5E" w:rsidRPr="000B39F3">
        <w:t>9</w:t>
      </w:r>
      <w:r w:rsidRPr="000B39F3">
        <w:t xml:space="preserve"> cases object of our study. Of these, only one instance of </w:t>
      </w:r>
      <w:r w:rsidR="00336396" w:rsidRPr="000B39F3">
        <w:t>‘</w:t>
      </w:r>
      <w:r w:rsidRPr="000B39F3">
        <w:t>reversal</w:t>
      </w:r>
      <w:r w:rsidR="00336396" w:rsidRPr="000B39F3">
        <w:t>’</w:t>
      </w:r>
      <w:r w:rsidRPr="000B39F3">
        <w:t xml:space="preserve"> was found, in an Opinion of an Advocate </w:t>
      </w:r>
      <w:proofErr w:type="gramStart"/>
      <w:r w:rsidRPr="000B39F3">
        <w:t>General which</w:t>
      </w:r>
      <w:proofErr w:type="gramEnd"/>
      <w:r w:rsidRPr="000B39F3">
        <w:t xml:space="preserve"> did not specifically pertain to copyright law. It was the Advocate General </w:t>
      </w:r>
      <w:proofErr w:type="spellStart"/>
      <w:r w:rsidRPr="000B39F3">
        <w:t>Trstenjak</w:t>
      </w:r>
      <w:proofErr w:type="spellEnd"/>
      <w:r w:rsidRPr="000B39F3">
        <w:t xml:space="preserve"> in </w:t>
      </w:r>
      <w:proofErr w:type="spellStart"/>
      <w:r w:rsidRPr="000B39F3">
        <w:rPr>
          <w:i/>
        </w:rPr>
        <w:t>Painer</w:t>
      </w:r>
      <w:proofErr w:type="spellEnd"/>
      <w:r w:rsidR="00CB3084" w:rsidRPr="000B39F3">
        <w:rPr>
          <w:i/>
        </w:rPr>
        <w:t xml:space="preserve"> </w:t>
      </w:r>
      <w:r w:rsidR="0000778B" w:rsidRPr="000B39F3">
        <w:t>who</w:t>
      </w:r>
      <w:r w:rsidRPr="000B39F3">
        <w:t xml:space="preserve"> argued:</w:t>
      </w:r>
      <w:r w:rsidR="00CB3084" w:rsidRPr="000B39F3">
        <w:t xml:space="preserve"> </w:t>
      </w:r>
      <w:r w:rsidR="00336396" w:rsidRPr="000B39F3">
        <w:rPr>
          <w:rFonts w:hAnsi="Arial"/>
        </w:rPr>
        <w:t>‘</w:t>
      </w:r>
      <w:r w:rsidRPr="000B39F3">
        <w:rPr>
          <w:rFonts w:hAnsi="Arial"/>
        </w:rPr>
        <w:t>In the light of the criticism of the Court</w:t>
      </w:r>
      <w:r w:rsidR="00336396" w:rsidRPr="000B39F3">
        <w:rPr>
          <w:rFonts w:hAnsi="Arial"/>
        </w:rPr>
        <w:t>’</w:t>
      </w:r>
      <w:r w:rsidRPr="000B39F3">
        <w:rPr>
          <w:rFonts w:hAnsi="Arial"/>
        </w:rPr>
        <w:t>s previous case-law, which I consider to be justified, I suggest that a slightly modified criterion be applied in examining whether there is a sufficiently close connection for the purposes of Article 6(1) of Regulation No 44/2001</w:t>
      </w:r>
      <w:r w:rsidR="00336396" w:rsidRPr="000B39F3">
        <w:rPr>
          <w:rFonts w:hAnsi="Arial"/>
        </w:rPr>
        <w:t>’</w:t>
      </w:r>
      <w:r w:rsidRPr="000B39F3">
        <w:rPr>
          <w:rFonts w:hAnsi="Arial"/>
        </w:rPr>
        <w:t>.</w:t>
      </w:r>
      <w:r w:rsidRPr="000B39F3">
        <w:rPr>
          <w:rStyle w:val="FootnoteReference"/>
        </w:rPr>
        <w:footnoteReference w:id="110"/>
      </w:r>
      <w:r w:rsidRPr="000B39F3">
        <w:rPr>
          <w:rFonts w:hAnsi="Arial"/>
        </w:rPr>
        <w:t xml:space="preserve"> This instance, albeit interesting, </w:t>
      </w:r>
      <w:r w:rsidR="00CB3084" w:rsidRPr="000B39F3">
        <w:rPr>
          <w:rFonts w:hAnsi="Arial"/>
        </w:rPr>
        <w:t xml:space="preserve">does not bear on </w:t>
      </w:r>
      <w:r w:rsidR="0048586E" w:rsidRPr="000B39F3">
        <w:rPr>
          <w:rFonts w:hAnsi="Arial"/>
        </w:rPr>
        <w:t xml:space="preserve">copyright </w:t>
      </w:r>
      <w:proofErr w:type="gramStart"/>
      <w:r w:rsidR="0048586E" w:rsidRPr="000B39F3">
        <w:rPr>
          <w:rFonts w:hAnsi="Arial"/>
        </w:rPr>
        <w:t>subject-matter</w:t>
      </w:r>
      <w:proofErr w:type="gramEnd"/>
      <w:r w:rsidRPr="000B39F3">
        <w:rPr>
          <w:rFonts w:hAnsi="Arial"/>
        </w:rPr>
        <w:t xml:space="preserve">. The content </w:t>
      </w:r>
      <w:r w:rsidRPr="000B39F3">
        <w:rPr>
          <w:rFonts w:hAnsi="Arial"/>
        </w:rPr>
        <w:lastRenderedPageBreak/>
        <w:t xml:space="preserve">analysis of the documents object of our study, therefore, did not reveal any </w:t>
      </w:r>
      <w:r w:rsidR="00310750" w:rsidRPr="000B39F3">
        <w:rPr>
          <w:rFonts w:hAnsi="Arial"/>
        </w:rPr>
        <w:t xml:space="preserve">explicitly expressed </w:t>
      </w:r>
      <w:r w:rsidR="00CB3084" w:rsidRPr="000B39F3">
        <w:rPr>
          <w:rFonts w:hAnsi="Arial"/>
        </w:rPr>
        <w:t>reversal</w:t>
      </w:r>
      <w:r w:rsidRPr="000B39F3">
        <w:rPr>
          <w:rFonts w:hAnsi="Arial"/>
        </w:rPr>
        <w:t xml:space="preserve"> in the Court</w:t>
      </w:r>
      <w:r w:rsidR="00336396" w:rsidRPr="000B39F3">
        <w:rPr>
          <w:rFonts w:hAnsi="Arial"/>
        </w:rPr>
        <w:t>’</w:t>
      </w:r>
      <w:r w:rsidR="002C626F" w:rsidRPr="000B39F3">
        <w:rPr>
          <w:rFonts w:hAnsi="Arial"/>
        </w:rPr>
        <w:t xml:space="preserve">s </w:t>
      </w:r>
      <w:proofErr w:type="gramStart"/>
      <w:r w:rsidR="002C626F" w:rsidRPr="000B39F3">
        <w:rPr>
          <w:rFonts w:hAnsi="Arial"/>
        </w:rPr>
        <w:t>case-</w:t>
      </w:r>
      <w:r w:rsidRPr="000B39F3">
        <w:rPr>
          <w:rFonts w:hAnsi="Arial"/>
        </w:rPr>
        <w:t>law</w:t>
      </w:r>
      <w:proofErr w:type="gramEnd"/>
      <w:r w:rsidRPr="000B39F3">
        <w:rPr>
          <w:rFonts w:hAnsi="Arial"/>
        </w:rPr>
        <w:t xml:space="preserve"> on copyright.</w:t>
      </w:r>
    </w:p>
    <w:p w14:paraId="26777ED5" w14:textId="77777777" w:rsidR="00CB3084" w:rsidRPr="000B39F3" w:rsidRDefault="00CB3084" w:rsidP="001E1BFF">
      <w:pPr>
        <w:jc w:val="both"/>
        <w:outlineLvl w:val="0"/>
        <w:rPr>
          <w:i/>
        </w:rPr>
      </w:pPr>
    </w:p>
    <w:p w14:paraId="5D8884A9" w14:textId="77777777" w:rsidR="0035446E" w:rsidRPr="000B39F3" w:rsidRDefault="004571F4" w:rsidP="001E1BFF">
      <w:pPr>
        <w:jc w:val="both"/>
        <w:outlineLvl w:val="0"/>
      </w:pPr>
      <w:r w:rsidRPr="000B39F3">
        <w:rPr>
          <w:i/>
        </w:rPr>
        <w:t xml:space="preserve">Broad </w:t>
      </w:r>
      <w:proofErr w:type="spellStart"/>
      <w:r w:rsidRPr="000B39F3">
        <w:rPr>
          <w:i/>
        </w:rPr>
        <w:t>vs</w:t>
      </w:r>
      <w:proofErr w:type="spellEnd"/>
      <w:r w:rsidRPr="000B39F3">
        <w:rPr>
          <w:i/>
        </w:rPr>
        <w:t xml:space="preserve"> Narrow concepts an</w:t>
      </w:r>
      <w:r w:rsidR="00B652F5" w:rsidRPr="000B39F3">
        <w:rPr>
          <w:i/>
        </w:rPr>
        <w:t>d broadening the rights of the c</w:t>
      </w:r>
      <w:r w:rsidRPr="000B39F3">
        <w:rPr>
          <w:i/>
        </w:rPr>
        <w:t>opyright o</w:t>
      </w:r>
      <w:r w:rsidR="0035446E" w:rsidRPr="000B39F3">
        <w:rPr>
          <w:i/>
        </w:rPr>
        <w:t>wner</w:t>
      </w:r>
    </w:p>
    <w:p w14:paraId="5956346A" w14:textId="7E6B6770" w:rsidR="00404E51" w:rsidRPr="000B39F3" w:rsidRDefault="0035446E" w:rsidP="00C67199">
      <w:pPr>
        <w:jc w:val="both"/>
      </w:pPr>
      <w:r w:rsidRPr="000B39F3">
        <w:t>In every examined preliminary ru</w:t>
      </w:r>
      <w:r w:rsidR="0082665F" w:rsidRPr="000B39F3">
        <w:t>ling the discussion involves</w:t>
      </w:r>
      <w:r w:rsidRPr="000B39F3">
        <w:t xml:space="preserve"> the definition of key concepts, </w:t>
      </w:r>
      <w:r w:rsidR="00310750" w:rsidRPr="000B39F3">
        <w:t xml:space="preserve">such </w:t>
      </w:r>
      <w:r w:rsidRPr="000B39F3">
        <w:t xml:space="preserve">as for example </w:t>
      </w:r>
      <w:r w:rsidR="00336396" w:rsidRPr="000B39F3">
        <w:t>‘</w:t>
      </w:r>
      <w:r w:rsidRPr="000B39F3">
        <w:t>reproduction right</w:t>
      </w:r>
      <w:r w:rsidR="00336396" w:rsidRPr="000B39F3">
        <w:t>’</w:t>
      </w:r>
      <w:r w:rsidR="003757A7" w:rsidRPr="000B39F3">
        <w:t xml:space="preserve"> </w:t>
      </w:r>
      <w:r w:rsidRPr="000B39F3">
        <w:t>or</w:t>
      </w:r>
      <w:r w:rsidR="003757A7" w:rsidRPr="000B39F3">
        <w:t xml:space="preserve"> </w:t>
      </w:r>
      <w:r w:rsidR="00336396" w:rsidRPr="000B39F3">
        <w:t>‘</w:t>
      </w:r>
      <w:r w:rsidRPr="000B39F3">
        <w:t>international exhaustion</w:t>
      </w:r>
      <w:r w:rsidR="00336396" w:rsidRPr="000B39F3">
        <w:t>’</w:t>
      </w:r>
      <w:r w:rsidRPr="000B39F3">
        <w:t xml:space="preserve">. These concepts in our content analysis have been identified and coded as </w:t>
      </w:r>
      <w:r w:rsidR="00336396" w:rsidRPr="000B39F3">
        <w:t>‘</w:t>
      </w:r>
      <w:r w:rsidRPr="000B39F3">
        <w:t>broad</w:t>
      </w:r>
      <w:r w:rsidR="00336396" w:rsidRPr="000B39F3">
        <w:t>’</w:t>
      </w:r>
      <w:r w:rsidRPr="000B39F3">
        <w:t xml:space="preserve"> or </w:t>
      </w:r>
      <w:r w:rsidR="00336396" w:rsidRPr="000B39F3">
        <w:t>‘</w:t>
      </w:r>
      <w:r w:rsidRPr="000B39F3">
        <w:t>narrow</w:t>
      </w:r>
      <w:r w:rsidR="00336396" w:rsidRPr="000B39F3">
        <w:t>’</w:t>
      </w:r>
      <w:r w:rsidRPr="000B39F3">
        <w:t xml:space="preserve"> according to whether </w:t>
      </w:r>
      <w:r w:rsidR="0064719E" w:rsidRPr="000B39F3">
        <w:t>the Court stated, directly or indirectly, that the interpretation to be given to the concept at hand was broad or narrow. Example</w:t>
      </w:r>
      <w:r w:rsidR="00404E51" w:rsidRPr="000B39F3">
        <w:t>s</w:t>
      </w:r>
      <w:r w:rsidR="0064719E" w:rsidRPr="000B39F3">
        <w:t xml:space="preserve"> of a direct statement include the use of the words ‘broad’ or ‘</w:t>
      </w:r>
      <w:r w:rsidR="00404E51" w:rsidRPr="000B39F3">
        <w:t>narr</w:t>
      </w:r>
      <w:r w:rsidR="0064719E" w:rsidRPr="000B39F3">
        <w:t xml:space="preserve">ow’ in the coded text. </w:t>
      </w:r>
      <w:r w:rsidR="00404E51" w:rsidRPr="000B39F3">
        <w:t>Ex</w:t>
      </w:r>
      <w:r w:rsidR="0064719E" w:rsidRPr="000B39F3">
        <w:t>amples of indirect broad definition of a concept invo</w:t>
      </w:r>
      <w:r w:rsidR="00404E51" w:rsidRPr="000B39F3">
        <w:t>lve the expansion of the concept at hand, which is stated ‘including’ further categories of items.</w:t>
      </w:r>
      <w:r w:rsidR="00404E51" w:rsidRPr="000B39F3">
        <w:rPr>
          <w:rStyle w:val="FootnoteReference"/>
        </w:rPr>
        <w:footnoteReference w:id="111"/>
      </w:r>
      <w:r w:rsidR="00404E51" w:rsidRPr="000B39F3">
        <w:t xml:space="preserve"> It needs to be recalled that this is </w:t>
      </w:r>
      <w:r w:rsidR="00A40D42" w:rsidRPr="000B39F3">
        <w:t xml:space="preserve">textual content </w:t>
      </w:r>
      <w:r w:rsidR="00404E51" w:rsidRPr="000B39F3">
        <w:t xml:space="preserve">analysis, not legal analysis, therefore instances of ‘broad’ interpretations will be picked up by the coding even </w:t>
      </w:r>
      <w:r w:rsidR="003757A7" w:rsidRPr="000B39F3">
        <w:t>though their use by the Court may be</w:t>
      </w:r>
      <w:r w:rsidR="00404E51" w:rsidRPr="000B39F3">
        <w:t xml:space="preserve"> merely rhetorical.</w:t>
      </w:r>
      <w:bookmarkStart w:id="30" w:name="_Ref417032648"/>
      <w:r w:rsidR="00404E51" w:rsidRPr="000B39F3">
        <w:rPr>
          <w:rStyle w:val="FootnoteReference"/>
        </w:rPr>
        <w:footnoteReference w:id="112"/>
      </w:r>
      <w:bookmarkEnd w:id="30"/>
    </w:p>
    <w:p w14:paraId="5B25AB5C" w14:textId="77777777" w:rsidR="0035446E" w:rsidRPr="000B39F3" w:rsidRDefault="0000778B" w:rsidP="00C67199">
      <w:pPr>
        <w:jc w:val="both"/>
      </w:pPr>
      <w:r w:rsidRPr="000B39F3">
        <w:t>This analysis</w:t>
      </w:r>
      <w:r w:rsidR="0035446E" w:rsidRPr="000B39F3">
        <w:t xml:space="preserve"> will give indications on the approaches of the Court only when combined with the object of the legal issue to which the concept is related. For example, the concept of </w:t>
      </w:r>
      <w:r w:rsidR="00336396" w:rsidRPr="000B39F3">
        <w:t>‘</w:t>
      </w:r>
      <w:r w:rsidR="0035446E" w:rsidRPr="000B39F3">
        <w:t>reproduction right</w:t>
      </w:r>
      <w:r w:rsidR="00336396" w:rsidRPr="000B39F3">
        <w:t>’</w:t>
      </w:r>
      <w:r w:rsidR="0035446E" w:rsidRPr="000B39F3">
        <w:t xml:space="preserve"> can give useful indications on the approach of the Court only if we consider that this is one of the main entitlements of the copyright owner. A broad interpretation of such a concept would broaden the rights of the </w:t>
      </w:r>
      <w:proofErr w:type="gramStart"/>
      <w:r w:rsidR="0035446E" w:rsidRPr="000B39F3">
        <w:t>owner,</w:t>
      </w:r>
      <w:proofErr w:type="gramEnd"/>
      <w:r w:rsidR="0035446E" w:rsidRPr="000B39F3">
        <w:t xml:space="preserve"> whereas a narrow interpretation of the same concept would somewhat constrain copyright protection. Conversely, </w:t>
      </w:r>
      <w:r w:rsidR="00344417" w:rsidRPr="000B39F3">
        <w:t xml:space="preserve">a </w:t>
      </w:r>
      <w:r w:rsidR="0035446E" w:rsidRPr="000B39F3">
        <w:t xml:space="preserve">broad interpretation of </w:t>
      </w:r>
      <w:r w:rsidR="00344417" w:rsidRPr="000B39F3">
        <w:t>copyright limits and exceptions</w:t>
      </w:r>
      <w:r w:rsidR="0035446E" w:rsidRPr="000B39F3">
        <w:t xml:space="preserve"> would constrain the entitlements of the owner, whereas a narrow interpretation would reinforce them.</w:t>
      </w:r>
    </w:p>
    <w:p w14:paraId="4F2BD4FE" w14:textId="2E0CA8E2" w:rsidR="0035446E" w:rsidRPr="000B39F3" w:rsidRDefault="007F416A" w:rsidP="00C67199">
      <w:pPr>
        <w:jc w:val="both"/>
      </w:pPr>
      <w:r w:rsidRPr="000B39F3">
        <w:t>T</w:t>
      </w:r>
      <w:r w:rsidR="0000778B" w:rsidRPr="000B39F3">
        <w:t xml:space="preserve">he </w:t>
      </w:r>
      <w:r w:rsidR="00F26F3A" w:rsidRPr="000B39F3">
        <w:t xml:space="preserve">copyright literature </w:t>
      </w:r>
      <w:r w:rsidRPr="000B39F3">
        <w:t xml:space="preserve">has </w:t>
      </w:r>
      <w:r w:rsidR="00F26F3A" w:rsidRPr="000B39F3">
        <w:t>sugge</w:t>
      </w:r>
      <w:r w:rsidRPr="000B39F3">
        <w:t>sted</w:t>
      </w:r>
      <w:r w:rsidR="003757A7" w:rsidRPr="000B39F3">
        <w:t xml:space="preserve"> </w:t>
      </w:r>
      <w:r w:rsidR="0035446E" w:rsidRPr="000B39F3">
        <w:t xml:space="preserve">that the Court </w:t>
      </w:r>
      <w:r w:rsidR="00F26F3A" w:rsidRPr="000B39F3">
        <w:t>normally gives</w:t>
      </w:r>
      <w:r w:rsidR="0035446E" w:rsidRPr="000B39F3">
        <w:t xml:space="preserve"> a broad interpretation of the rights of the owners</w:t>
      </w:r>
      <w:r w:rsidR="00F26F3A" w:rsidRPr="000B39F3">
        <w:t xml:space="preserve"> and</w:t>
      </w:r>
      <w:r w:rsidR="0035446E" w:rsidRPr="000B39F3">
        <w:t xml:space="preserve"> a narrow interpretation of copyright exceptions and limitations. This </w:t>
      </w:r>
      <w:r w:rsidR="00F26F3A" w:rsidRPr="000B39F3">
        <w:t xml:space="preserve">general approach on </w:t>
      </w:r>
      <w:r w:rsidRPr="000B39F3">
        <w:t xml:space="preserve">copyright derives from </w:t>
      </w:r>
      <w:r w:rsidR="0035446E" w:rsidRPr="000B39F3">
        <w:t>a number of Recitals of Directive 29/2001/EC</w:t>
      </w:r>
      <w:r w:rsidR="0035446E" w:rsidRPr="000B39F3">
        <w:rPr>
          <w:rStyle w:val="FootnoteReference"/>
        </w:rPr>
        <w:footnoteReference w:id="113"/>
      </w:r>
      <w:r w:rsidR="0035446E" w:rsidRPr="000B39F3">
        <w:t xml:space="preserve"> (hereinafter, the </w:t>
      </w:r>
      <w:proofErr w:type="spellStart"/>
      <w:r w:rsidR="0035446E" w:rsidRPr="000B39F3">
        <w:t>InfoSoc</w:t>
      </w:r>
      <w:proofErr w:type="spellEnd"/>
      <w:r w:rsidR="0035446E" w:rsidRPr="000B39F3">
        <w:t xml:space="preserve"> Directive), which requires a </w:t>
      </w:r>
      <w:r w:rsidR="00336396" w:rsidRPr="000B39F3">
        <w:t>‘</w:t>
      </w:r>
      <w:r w:rsidR="0035446E" w:rsidRPr="000B39F3">
        <w:t>high level of protection to the author</w:t>
      </w:r>
      <w:r w:rsidR="00336396" w:rsidRPr="000B39F3">
        <w:t>’</w:t>
      </w:r>
      <w:r w:rsidR="00A42FAF" w:rsidRPr="000B39F3">
        <w:t xml:space="preserve"> and</w:t>
      </w:r>
      <w:r w:rsidR="00F26F3A" w:rsidRPr="000B39F3">
        <w:t xml:space="preserve"> narrow </w:t>
      </w:r>
      <w:r w:rsidR="00A42FAF" w:rsidRPr="000B39F3">
        <w:t>boundaries for</w:t>
      </w:r>
      <w:r w:rsidR="00F26F3A" w:rsidRPr="000B39F3">
        <w:t xml:space="preserve"> copyright exceptions</w:t>
      </w:r>
      <w:r w:rsidR="0035446E" w:rsidRPr="000B39F3">
        <w:t>.</w:t>
      </w:r>
      <w:r w:rsidR="0035446E" w:rsidRPr="000B39F3">
        <w:rPr>
          <w:rStyle w:val="FootnoteReference"/>
        </w:rPr>
        <w:footnoteReference w:id="114"/>
      </w:r>
      <w:r w:rsidR="003757A7" w:rsidRPr="000B39F3">
        <w:t xml:space="preserve"> </w:t>
      </w:r>
      <w:r w:rsidR="00F26F3A" w:rsidRPr="000B39F3">
        <w:t xml:space="preserve">Broad or narrow interpretation of concepts therefore should normally be grounded on </w:t>
      </w:r>
      <w:r w:rsidR="00A42FAF" w:rsidRPr="000B39F3">
        <w:t xml:space="preserve">the </w:t>
      </w:r>
      <w:r w:rsidR="00F26F3A" w:rsidRPr="000B39F3">
        <w:t xml:space="preserve">specific text of a </w:t>
      </w:r>
      <w:bookmarkStart w:id="34" w:name="_RefF46"/>
      <w:r w:rsidR="00A42FAF" w:rsidRPr="000B39F3">
        <w:t>directive</w:t>
      </w:r>
      <w:r w:rsidR="0035446E" w:rsidRPr="000B39F3">
        <w:rPr>
          <w:rStyle w:val="FootnoteReference"/>
        </w:rPr>
        <w:footnoteReference w:id="115"/>
      </w:r>
      <w:bookmarkEnd w:id="34"/>
      <w:r w:rsidR="00A42FAF" w:rsidRPr="000B39F3">
        <w:t xml:space="preserve"> and should be determined by the piece of legislation that the Court is called to interpret.</w:t>
      </w:r>
    </w:p>
    <w:p w14:paraId="5F96F5AE" w14:textId="389B2FB6" w:rsidR="0035446E" w:rsidRPr="000B39F3" w:rsidRDefault="0035446E" w:rsidP="00C67199">
      <w:pPr>
        <w:jc w:val="both"/>
      </w:pPr>
      <w:r w:rsidRPr="000B39F3">
        <w:lastRenderedPageBreak/>
        <w:t xml:space="preserve">However the analysis of our data reveals quite a different picture. </w:t>
      </w:r>
      <w:r w:rsidR="0082665F" w:rsidRPr="000B39F3">
        <w:t>Just over</w:t>
      </w:r>
      <w:r w:rsidR="00202734" w:rsidRPr="000B39F3">
        <w:t xml:space="preserve"> half of the examined </w:t>
      </w:r>
      <w:r w:rsidR="00EF4A18" w:rsidRPr="000B39F3">
        <w:t>judgment</w:t>
      </w:r>
      <w:r w:rsidR="00202734" w:rsidRPr="000B39F3">
        <w:t xml:space="preserve">s called to interpret the rights of the owner gave a broad interpretation, and only little more than half of the rulings involving copyright limits displayed a narrow construct. </w:t>
      </w:r>
      <w:r w:rsidRPr="000B39F3">
        <w:t xml:space="preserve">In essence, the analysis suggests that the </w:t>
      </w:r>
      <w:r w:rsidR="00F86733" w:rsidRPr="000B39F3">
        <w:t>high</w:t>
      </w:r>
      <w:r w:rsidRPr="000B39F3">
        <w:t xml:space="preserve"> protection of the copyright owner, or the narrow construction of copyright limits, do not gu</w:t>
      </w:r>
      <w:r w:rsidR="00202734" w:rsidRPr="000B39F3">
        <w:t xml:space="preserve">ide the </w:t>
      </w:r>
      <w:r w:rsidR="0082665F" w:rsidRPr="000B39F3">
        <w:t xml:space="preserve">copyright jurisprudence of the Court </w:t>
      </w:r>
      <w:r w:rsidRPr="000B39F3">
        <w:t xml:space="preserve">as one </w:t>
      </w:r>
      <w:r w:rsidR="0000778B" w:rsidRPr="000B39F3">
        <w:t>might have</w:t>
      </w:r>
      <w:r w:rsidRPr="000B39F3">
        <w:t xml:space="preserve"> expect</w:t>
      </w:r>
      <w:r w:rsidR="0000778B" w:rsidRPr="000B39F3">
        <w:t>ed</w:t>
      </w:r>
      <w:r w:rsidRPr="000B39F3">
        <w:t xml:space="preserve">. </w:t>
      </w:r>
    </w:p>
    <w:p w14:paraId="3D5BF325" w14:textId="4F92DA60" w:rsidR="0035446E" w:rsidRPr="000B39F3" w:rsidRDefault="0000778B" w:rsidP="00C67199">
      <w:pPr>
        <w:jc w:val="both"/>
      </w:pPr>
      <w:r w:rsidRPr="000B39F3">
        <w:t xml:space="preserve">This finding </w:t>
      </w:r>
      <w:r w:rsidR="0035446E" w:rsidRPr="000B39F3">
        <w:t xml:space="preserve">however </w:t>
      </w:r>
      <w:r w:rsidRPr="000B39F3">
        <w:t xml:space="preserve">must be understood in context, i.e. </w:t>
      </w:r>
      <w:r w:rsidR="0035446E" w:rsidRPr="000B39F3">
        <w:t xml:space="preserve">the nature of the main copyright issues discussed in each case. </w:t>
      </w:r>
      <w:r w:rsidR="00202734" w:rsidRPr="000B39F3">
        <w:t xml:space="preserve">Almost half of the examined cases </w:t>
      </w:r>
      <w:r w:rsidR="004977A7" w:rsidRPr="000B39F3">
        <w:t xml:space="preserve">involved a </w:t>
      </w:r>
      <w:r w:rsidR="0035446E" w:rsidRPr="000B39F3">
        <w:t xml:space="preserve">copyright issue stemming from the </w:t>
      </w:r>
      <w:proofErr w:type="spellStart"/>
      <w:r w:rsidR="0035446E" w:rsidRPr="000B39F3">
        <w:t>InfoSoc</w:t>
      </w:r>
      <w:proofErr w:type="spellEnd"/>
      <w:r w:rsidR="0035446E" w:rsidRPr="000B39F3">
        <w:t xml:space="preserve"> Directive </w:t>
      </w:r>
      <w:r w:rsidR="004977A7" w:rsidRPr="000B39F3">
        <w:t>whereas the other half of the sample</w:t>
      </w:r>
      <w:r w:rsidR="0035446E" w:rsidRPr="000B39F3">
        <w:t xml:space="preserve"> discussed entitlements of copyright owners </w:t>
      </w:r>
      <w:r w:rsidR="0035446E" w:rsidRPr="000B39F3">
        <w:rPr>
          <w:i/>
        </w:rPr>
        <w:t>related</w:t>
      </w:r>
      <w:r w:rsidR="0035446E" w:rsidRPr="000B39F3">
        <w:t xml:space="preserve"> to copyright, such as broadcasting rights, re</w:t>
      </w:r>
      <w:r w:rsidR="004977A7" w:rsidRPr="000B39F3">
        <w:t xml:space="preserve">ntal rights, and resale rights, </w:t>
      </w:r>
      <w:r w:rsidR="0035446E" w:rsidRPr="000B39F3">
        <w:t xml:space="preserve">copyright enforcement, </w:t>
      </w:r>
      <w:r w:rsidR="004977A7" w:rsidRPr="000B39F3">
        <w:t>software protection</w:t>
      </w:r>
      <w:r w:rsidR="0035446E" w:rsidRPr="000B39F3">
        <w:t xml:space="preserve"> and copyright term.</w:t>
      </w:r>
      <w:r w:rsidR="0065549A" w:rsidRPr="000B39F3">
        <w:t xml:space="preserve"> </w:t>
      </w:r>
      <w:proofErr w:type="gramStart"/>
      <w:r w:rsidR="0065549A" w:rsidRPr="000B39F3">
        <w:t xml:space="preserve">The </w:t>
      </w:r>
      <w:r w:rsidR="00336396" w:rsidRPr="000B39F3">
        <w:t>‘</w:t>
      </w:r>
      <w:r w:rsidR="0065549A" w:rsidRPr="000B39F3">
        <w:t>high protection</w:t>
      </w:r>
      <w:r w:rsidR="00336396" w:rsidRPr="000B39F3">
        <w:t>’</w:t>
      </w:r>
      <w:r w:rsidR="0065549A" w:rsidRPr="000B39F3">
        <w:t xml:space="preserve"> for the copyright owner is cited only by the </w:t>
      </w:r>
      <w:proofErr w:type="spellStart"/>
      <w:r w:rsidR="0065549A" w:rsidRPr="000B39F3">
        <w:t>Infosoc</w:t>
      </w:r>
      <w:proofErr w:type="spellEnd"/>
      <w:r w:rsidR="0065549A" w:rsidRPr="000B39F3">
        <w:t xml:space="preserve"> directive</w:t>
      </w:r>
      <w:proofErr w:type="gramEnd"/>
      <w:r w:rsidR="0065549A" w:rsidRPr="000B39F3">
        <w:t>. Therefore</w:t>
      </w:r>
      <w:r w:rsidR="00AB5AC3" w:rsidRPr="000B39F3">
        <w:t>,</w:t>
      </w:r>
      <w:r w:rsidR="0065549A" w:rsidRPr="000B39F3">
        <w:t xml:space="preserve"> a substantial difference </w:t>
      </w:r>
      <w:r w:rsidR="00F82188" w:rsidRPr="000B39F3">
        <w:t>could be expected</w:t>
      </w:r>
      <w:r w:rsidR="0065549A" w:rsidRPr="000B39F3">
        <w:t xml:space="preserve"> between the protection of the author under this directive and the protection of </w:t>
      </w:r>
      <w:proofErr w:type="spellStart"/>
      <w:r w:rsidR="0065549A" w:rsidRPr="000B39F3">
        <w:t>rightholders</w:t>
      </w:r>
      <w:proofErr w:type="spellEnd"/>
      <w:r w:rsidR="0065549A" w:rsidRPr="000B39F3">
        <w:t xml:space="preserve"> under the other directives. In fact, our data reveals that the </w:t>
      </w:r>
      <w:r w:rsidR="00D61E9F" w:rsidRPr="000B39F3">
        <w:t xml:space="preserve">difference is </w:t>
      </w:r>
      <w:r w:rsidR="005D557F" w:rsidRPr="000B39F3">
        <w:t>modest</w:t>
      </w:r>
      <w:r w:rsidR="0065549A" w:rsidRPr="000B39F3">
        <w:t xml:space="preserve">. The rights of the owner are </w:t>
      </w:r>
      <w:r w:rsidR="005D557F" w:rsidRPr="000B39F3">
        <w:t>expanded</w:t>
      </w:r>
      <w:r w:rsidR="00F86733" w:rsidRPr="000B39F3">
        <w:rPr>
          <w:rStyle w:val="FootnoteReference"/>
        </w:rPr>
        <w:footnoteReference w:id="116"/>
      </w:r>
      <w:r w:rsidR="005D557F" w:rsidRPr="000B39F3">
        <w:t xml:space="preserve"> </w:t>
      </w:r>
      <w:r w:rsidR="0065549A" w:rsidRPr="000B39F3">
        <w:t xml:space="preserve">in </w:t>
      </w:r>
      <w:r w:rsidR="00F05B44" w:rsidRPr="000B39F3">
        <w:t>fifty-six</w:t>
      </w:r>
      <w:r w:rsidR="0065549A" w:rsidRPr="000B39F3">
        <w:t xml:space="preserve"> per cent of the cases stemming from the </w:t>
      </w:r>
      <w:proofErr w:type="spellStart"/>
      <w:r w:rsidR="0065549A" w:rsidRPr="000B39F3">
        <w:t>InfoSoc</w:t>
      </w:r>
      <w:proofErr w:type="spellEnd"/>
      <w:r w:rsidR="0065549A" w:rsidRPr="000B39F3">
        <w:t xml:space="preserve"> directive and in </w:t>
      </w:r>
      <w:r w:rsidR="00F05B44" w:rsidRPr="000B39F3">
        <w:t>forty-five</w:t>
      </w:r>
      <w:r w:rsidR="0065549A" w:rsidRPr="000B39F3">
        <w:t xml:space="preserve"> per cent of case stemming from the other directives. Nine out of twelve cases discussing the rights of the owner under the </w:t>
      </w:r>
      <w:proofErr w:type="spellStart"/>
      <w:r w:rsidR="0065549A" w:rsidRPr="000B39F3">
        <w:t>InfoSoc</w:t>
      </w:r>
      <w:proofErr w:type="spellEnd"/>
      <w:r w:rsidR="0065549A" w:rsidRPr="000B39F3">
        <w:t xml:space="preserve"> directive were interpreted broadly,</w:t>
      </w:r>
      <w:r w:rsidR="00506EE9" w:rsidRPr="000B39F3">
        <w:rPr>
          <w:rStyle w:val="FootnoteReference"/>
        </w:rPr>
        <w:footnoteReference w:id="117"/>
      </w:r>
      <w:r w:rsidR="0065549A" w:rsidRPr="000B39F3">
        <w:t xml:space="preserve"> while half of the cases regardin</w:t>
      </w:r>
      <w:r w:rsidR="00506EE9" w:rsidRPr="000B39F3">
        <w:t>g</w:t>
      </w:r>
      <w:r w:rsidR="0065549A" w:rsidRPr="000B39F3">
        <w:t xml:space="preserve"> copyright exceptions</w:t>
      </w:r>
      <w:r w:rsidR="00506EE9" w:rsidRPr="000B39F3">
        <w:t xml:space="preserve"> and limits were construed narrowly.</w:t>
      </w:r>
      <w:r w:rsidR="00506EE9" w:rsidRPr="000B39F3">
        <w:rPr>
          <w:rStyle w:val="FootnoteReference"/>
        </w:rPr>
        <w:footnoteReference w:id="118"/>
      </w:r>
    </w:p>
    <w:p w14:paraId="0B8BB19B" w14:textId="4FD06366" w:rsidR="0035446E" w:rsidRPr="000B39F3" w:rsidRDefault="000D706B" w:rsidP="00C67199">
      <w:pPr>
        <w:jc w:val="both"/>
      </w:pPr>
      <w:r w:rsidRPr="000B39F3">
        <w:rPr>
          <w:rFonts w:hAnsi="Arial"/>
        </w:rPr>
        <w:t>Across the whole sample</w:t>
      </w:r>
      <w:r w:rsidR="0035446E" w:rsidRPr="000B39F3">
        <w:rPr>
          <w:rFonts w:hAnsi="Arial"/>
        </w:rPr>
        <w:t xml:space="preserve">, </w:t>
      </w:r>
      <w:r w:rsidRPr="000B39F3">
        <w:rPr>
          <w:rFonts w:hAnsi="Arial"/>
        </w:rPr>
        <w:t>an</w:t>
      </w:r>
      <w:r w:rsidR="0035446E" w:rsidRPr="000B39F3">
        <w:rPr>
          <w:rFonts w:hAnsi="Arial"/>
        </w:rPr>
        <w:t xml:space="preserve"> interesting </w:t>
      </w:r>
      <w:r w:rsidR="00D61E9F" w:rsidRPr="000B39F3">
        <w:rPr>
          <w:rFonts w:hAnsi="Arial"/>
        </w:rPr>
        <w:t>example is</w:t>
      </w:r>
      <w:r w:rsidR="005D557F" w:rsidRPr="000B39F3">
        <w:rPr>
          <w:rFonts w:hAnsi="Arial"/>
        </w:rPr>
        <w:t xml:space="preserve"> </w:t>
      </w:r>
      <w:r w:rsidR="0035446E" w:rsidRPr="000B39F3">
        <w:rPr>
          <w:rFonts w:hAnsi="Arial"/>
        </w:rPr>
        <w:t xml:space="preserve">the concept of </w:t>
      </w:r>
      <w:r w:rsidR="00336396" w:rsidRPr="000B39F3">
        <w:rPr>
          <w:rFonts w:hAnsi="Arial"/>
        </w:rPr>
        <w:t>‘</w:t>
      </w:r>
      <w:r w:rsidR="0035446E" w:rsidRPr="000B39F3">
        <w:rPr>
          <w:rFonts w:hAnsi="Arial"/>
        </w:rPr>
        <w:t>communication to the public</w:t>
      </w:r>
      <w:r w:rsidR="00336396" w:rsidRPr="000B39F3">
        <w:rPr>
          <w:rFonts w:hAnsi="Arial"/>
        </w:rPr>
        <w:t>’</w:t>
      </w:r>
      <w:r w:rsidR="0035446E" w:rsidRPr="000B39F3">
        <w:rPr>
          <w:rFonts w:hAnsi="Arial"/>
        </w:rPr>
        <w:t>. This concept was indeed recalled under a number of circumstances related to copyright, to resale rights, and to broadcasting rights. The data suggest that the European judges initially revealed a strict attitude in relation to the concept of communication to the public, with relation to a retra</w:t>
      </w:r>
      <w:r w:rsidR="00D61E9F" w:rsidRPr="000B39F3">
        <w:rPr>
          <w:rFonts w:hAnsi="Arial"/>
        </w:rPr>
        <w:t>n</w:t>
      </w:r>
      <w:r w:rsidR="0035446E" w:rsidRPr="000B39F3">
        <w:rPr>
          <w:rFonts w:hAnsi="Arial"/>
        </w:rPr>
        <w:t xml:space="preserve">smission of a radio signal in hotel rooms. In </w:t>
      </w:r>
      <w:r w:rsidR="0035446E" w:rsidRPr="000B39F3">
        <w:rPr>
          <w:rFonts w:hAnsi="Arial"/>
          <w:i/>
        </w:rPr>
        <w:t>SGAE</w:t>
      </w:r>
      <w:r w:rsidR="0035446E" w:rsidRPr="000B39F3">
        <w:rPr>
          <w:rFonts w:hAnsi="Arial"/>
        </w:rPr>
        <w:t xml:space="preserve"> the Court, against the opinion of Advocate General La Pergola, excluded the application of the broadcasting directive and referred the case to national legislation. No other directive was in force at the time to</w:t>
      </w:r>
      <w:r w:rsidR="00A41825" w:rsidRPr="000B39F3">
        <w:rPr>
          <w:rFonts w:hAnsi="Arial"/>
        </w:rPr>
        <w:t xml:space="preserve"> offer a solution of this case.</w:t>
      </w:r>
      <w:r w:rsidR="0035446E" w:rsidRPr="000B39F3">
        <w:rPr>
          <w:rStyle w:val="FootnoteReference"/>
        </w:rPr>
        <w:footnoteReference w:id="119"/>
      </w:r>
      <w:r w:rsidR="00D61E9F" w:rsidRPr="000B39F3">
        <w:rPr>
          <w:rFonts w:hAnsi="Arial"/>
        </w:rPr>
        <w:t>A f</w:t>
      </w:r>
      <w:r w:rsidR="0035446E" w:rsidRPr="000B39F3">
        <w:rPr>
          <w:rFonts w:hAnsi="Arial"/>
        </w:rPr>
        <w:t xml:space="preserve">ew years later, after the entry into force of the </w:t>
      </w:r>
      <w:proofErr w:type="spellStart"/>
      <w:r w:rsidR="0035446E" w:rsidRPr="000B39F3">
        <w:rPr>
          <w:rFonts w:hAnsi="Arial"/>
        </w:rPr>
        <w:t>InfoSoc</w:t>
      </w:r>
      <w:proofErr w:type="spellEnd"/>
      <w:r w:rsidR="0035446E" w:rsidRPr="000B39F3">
        <w:rPr>
          <w:rFonts w:hAnsi="Arial"/>
        </w:rPr>
        <w:t xml:space="preserve"> directive, the Court gave another reading of the same factual case by giving a broad interpretation of the concept of communication to the public. The Operational part of the </w:t>
      </w:r>
      <w:r w:rsidR="00EF4A18" w:rsidRPr="000B39F3">
        <w:rPr>
          <w:rFonts w:hAnsi="Arial"/>
        </w:rPr>
        <w:t>Judgment</w:t>
      </w:r>
      <w:r w:rsidR="0035446E" w:rsidRPr="000B39F3">
        <w:rPr>
          <w:rFonts w:hAnsi="Arial"/>
        </w:rPr>
        <w:t xml:space="preserve"> in </w:t>
      </w:r>
      <w:proofErr w:type="spellStart"/>
      <w:r w:rsidR="0035446E" w:rsidRPr="000B39F3">
        <w:rPr>
          <w:rFonts w:hAnsi="Arial"/>
          <w:i/>
        </w:rPr>
        <w:t>Egeda</w:t>
      </w:r>
      <w:proofErr w:type="spellEnd"/>
      <w:r w:rsidR="0035446E" w:rsidRPr="000B39F3">
        <w:rPr>
          <w:rFonts w:hAnsi="Arial"/>
        </w:rPr>
        <w:t xml:space="preserve"> stated: </w:t>
      </w:r>
      <w:r w:rsidR="00336396" w:rsidRPr="000B39F3">
        <w:rPr>
          <w:rFonts w:hAnsi="Arial"/>
        </w:rPr>
        <w:t>‘</w:t>
      </w:r>
      <w:r w:rsidR="0035446E" w:rsidRPr="000B39F3">
        <w:rPr>
          <w:rFonts w:hAnsi="Arial"/>
        </w:rPr>
        <w:t xml:space="preserve">the distribution of a signal by means of television sets by a hotel to customers staying in its rooms, whatever technique is used to transmit the signal, constitutes communication to the public within the meaning of Article 3(1) of that </w:t>
      </w:r>
      <w:r w:rsidR="0035446E" w:rsidRPr="000B39F3">
        <w:rPr>
          <w:rFonts w:cs="Times New Roman"/>
          <w:sz w:val="20"/>
          <w:szCs w:val="20"/>
        </w:rPr>
        <w:t>dire</w:t>
      </w:r>
      <w:r w:rsidR="0035446E" w:rsidRPr="000B39F3">
        <w:rPr>
          <w:rFonts w:hAnsi="Arial"/>
        </w:rPr>
        <w:t>ctive.</w:t>
      </w:r>
      <w:r w:rsidR="00336396" w:rsidRPr="000B39F3">
        <w:rPr>
          <w:rFonts w:hAnsi="Arial"/>
        </w:rPr>
        <w:t>’</w:t>
      </w:r>
      <w:r w:rsidR="0035446E" w:rsidRPr="000B39F3">
        <w:rPr>
          <w:rStyle w:val="FootnoteReference"/>
        </w:rPr>
        <w:footnoteReference w:id="120"/>
      </w:r>
      <w:r w:rsidR="0035446E" w:rsidRPr="000B39F3">
        <w:rPr>
          <w:rFonts w:hAnsi="Arial"/>
        </w:rPr>
        <w:t xml:space="preserve"> The judges also specified: </w:t>
      </w:r>
      <w:r w:rsidR="00336396" w:rsidRPr="000B39F3">
        <w:rPr>
          <w:rFonts w:hAnsi="Arial"/>
        </w:rPr>
        <w:t>‘</w:t>
      </w:r>
      <w:r w:rsidR="0035446E" w:rsidRPr="000B39F3">
        <w:rPr>
          <w:rFonts w:hAnsi="Arial"/>
        </w:rPr>
        <w:t xml:space="preserve">It follows from the 23rd recital in the preamble to Directive 2001/29 that </w:t>
      </w:r>
      <w:r w:rsidR="00336396" w:rsidRPr="000B39F3">
        <w:rPr>
          <w:rFonts w:hAnsi="Arial"/>
        </w:rPr>
        <w:t>‘</w:t>
      </w:r>
      <w:r w:rsidR="0035446E" w:rsidRPr="000B39F3">
        <w:rPr>
          <w:rFonts w:hAnsi="Arial"/>
        </w:rPr>
        <w:t>communication to the public</w:t>
      </w:r>
      <w:r w:rsidR="00336396" w:rsidRPr="000B39F3">
        <w:rPr>
          <w:rFonts w:hAnsi="Arial"/>
        </w:rPr>
        <w:t>’</w:t>
      </w:r>
      <w:r w:rsidR="0035446E" w:rsidRPr="000B39F3">
        <w:rPr>
          <w:rFonts w:hAnsi="Arial"/>
        </w:rPr>
        <w:t xml:space="preserve"> must be interpreted broadly</w:t>
      </w:r>
      <w:r w:rsidR="00336396" w:rsidRPr="000B39F3">
        <w:rPr>
          <w:rFonts w:hAnsi="Arial"/>
        </w:rPr>
        <w:t>’</w:t>
      </w:r>
      <w:r w:rsidR="0035446E" w:rsidRPr="000B39F3">
        <w:rPr>
          <w:rFonts w:hAnsi="Arial"/>
        </w:rPr>
        <w:t>.</w:t>
      </w:r>
      <w:r w:rsidR="0035446E" w:rsidRPr="000B39F3">
        <w:rPr>
          <w:rStyle w:val="FootnoteReference"/>
        </w:rPr>
        <w:footnoteReference w:id="121"/>
      </w:r>
    </w:p>
    <w:p w14:paraId="0532CC83" w14:textId="4E61A5D6" w:rsidR="00CE2C28" w:rsidRPr="000B39F3" w:rsidRDefault="0035446E" w:rsidP="00C67199">
      <w:pPr>
        <w:jc w:val="both"/>
        <w:rPr>
          <w:rFonts w:hAnsi="Arial"/>
        </w:rPr>
      </w:pPr>
      <w:r w:rsidRPr="000B39F3">
        <w:rPr>
          <w:rFonts w:hAnsi="Arial"/>
        </w:rPr>
        <w:lastRenderedPageBreak/>
        <w:t>This approach was also followed with reference to a retra</w:t>
      </w:r>
      <w:r w:rsidR="00310750" w:rsidRPr="000B39F3">
        <w:rPr>
          <w:rFonts w:hAnsi="Arial"/>
        </w:rPr>
        <w:t>n</w:t>
      </w:r>
      <w:r w:rsidRPr="000B39F3">
        <w:rPr>
          <w:rFonts w:hAnsi="Arial"/>
        </w:rPr>
        <w:t>smission of a TV signal from one Member State to another</w:t>
      </w:r>
      <w:r w:rsidRPr="000B39F3">
        <w:rPr>
          <w:rStyle w:val="FootnoteReference"/>
        </w:rPr>
        <w:footnoteReference w:id="122"/>
      </w:r>
      <w:r w:rsidRPr="000B39F3">
        <w:rPr>
          <w:rFonts w:hAnsi="Arial"/>
        </w:rPr>
        <w:t xml:space="preserve"> and in relation to the broadcasting of a TV signal in a pub.</w:t>
      </w:r>
      <w:r w:rsidRPr="000B39F3">
        <w:rPr>
          <w:rStyle w:val="FootnoteReference"/>
        </w:rPr>
        <w:footnoteReference w:id="123"/>
      </w:r>
      <w:r w:rsidR="009255C0" w:rsidRPr="000B39F3">
        <w:rPr>
          <w:rFonts w:hAnsi="Arial"/>
        </w:rPr>
        <w:t xml:space="preserve"> </w:t>
      </w:r>
      <w:r w:rsidR="00E34EA2" w:rsidRPr="000B39F3">
        <w:rPr>
          <w:rFonts w:hAnsi="Arial"/>
        </w:rPr>
        <w:t xml:space="preserve">On each occasion the court held that a new public was given access to the copyright work and that a communication to the public occurred. That latter concept was therefore interpreted broadly. </w:t>
      </w:r>
      <w:r w:rsidRPr="000B39F3">
        <w:rPr>
          <w:rFonts w:hAnsi="Arial"/>
        </w:rPr>
        <w:t xml:space="preserve">However, the Court appears to change this attitude when </w:t>
      </w:r>
      <w:r w:rsidR="00E34EA2" w:rsidRPr="000B39F3">
        <w:rPr>
          <w:rFonts w:hAnsi="Arial"/>
        </w:rPr>
        <w:t>it ruled</w:t>
      </w:r>
      <w:r w:rsidRPr="000B39F3">
        <w:rPr>
          <w:rFonts w:hAnsi="Arial"/>
        </w:rPr>
        <w:t xml:space="preserve"> on the retra</w:t>
      </w:r>
      <w:r w:rsidR="00310750" w:rsidRPr="000B39F3">
        <w:rPr>
          <w:rFonts w:hAnsi="Arial"/>
        </w:rPr>
        <w:t>n</w:t>
      </w:r>
      <w:r w:rsidRPr="000B39F3">
        <w:rPr>
          <w:rFonts w:hAnsi="Arial"/>
        </w:rPr>
        <w:t>smission of a radio signal in a dentist practice.</w:t>
      </w:r>
      <w:r w:rsidRPr="000B39F3">
        <w:rPr>
          <w:rStyle w:val="FootnoteReference"/>
        </w:rPr>
        <w:footnoteReference w:id="124"/>
      </w:r>
      <w:r w:rsidR="009255C0" w:rsidRPr="000B39F3">
        <w:rPr>
          <w:rFonts w:hAnsi="Arial"/>
        </w:rPr>
        <w:t xml:space="preserve"> </w:t>
      </w:r>
      <w:r w:rsidR="00E34EA2" w:rsidRPr="000B39F3">
        <w:rPr>
          <w:rFonts w:hAnsi="Arial"/>
        </w:rPr>
        <w:t>No new communication to the public took place, as there was no aim to obtain a profit and only a limited number of persons had access to the copyright work</w:t>
      </w:r>
      <w:r w:rsidR="005D557F" w:rsidRPr="000B39F3">
        <w:rPr>
          <w:rFonts w:hAnsi="Arial"/>
        </w:rPr>
        <w:t xml:space="preserve"> (a</w:t>
      </w:r>
      <w:r w:rsidR="00E34EA2" w:rsidRPr="000B39F3">
        <w:rPr>
          <w:rFonts w:hAnsi="Arial"/>
        </w:rPr>
        <w:t xml:space="preserve">s if the Court introduced a kind of </w:t>
      </w:r>
      <w:r w:rsidR="00E34EA2" w:rsidRPr="000B39F3">
        <w:rPr>
          <w:rFonts w:hAnsi="Arial"/>
          <w:i/>
        </w:rPr>
        <w:t xml:space="preserve">de </w:t>
      </w:r>
      <w:proofErr w:type="spellStart"/>
      <w:r w:rsidR="00E34EA2" w:rsidRPr="000B39F3">
        <w:rPr>
          <w:rFonts w:hAnsi="Arial"/>
          <w:i/>
        </w:rPr>
        <w:t>minimis</w:t>
      </w:r>
      <w:proofErr w:type="spellEnd"/>
      <w:r w:rsidR="00E34EA2" w:rsidRPr="000B39F3">
        <w:rPr>
          <w:rFonts w:hAnsi="Arial"/>
        </w:rPr>
        <w:t xml:space="preserve"> rule</w:t>
      </w:r>
      <w:r w:rsidR="005D557F" w:rsidRPr="000B39F3">
        <w:rPr>
          <w:rFonts w:hAnsi="Arial"/>
        </w:rPr>
        <w:t>)</w:t>
      </w:r>
      <w:r w:rsidR="00E34EA2" w:rsidRPr="000B39F3">
        <w:rPr>
          <w:rFonts w:hAnsi="Arial"/>
        </w:rPr>
        <w:t xml:space="preserve">. The Court </w:t>
      </w:r>
      <w:r w:rsidRPr="000B39F3">
        <w:rPr>
          <w:rFonts w:hAnsi="Arial"/>
        </w:rPr>
        <w:t xml:space="preserve">reverses </w:t>
      </w:r>
      <w:r w:rsidR="00E34EA2" w:rsidRPr="000B39F3">
        <w:rPr>
          <w:rFonts w:hAnsi="Arial"/>
        </w:rPr>
        <w:t xml:space="preserve">its attitude </w:t>
      </w:r>
      <w:r w:rsidRPr="000B39F3">
        <w:rPr>
          <w:rFonts w:hAnsi="Arial"/>
        </w:rPr>
        <w:t xml:space="preserve">again when </w:t>
      </w:r>
      <w:r w:rsidR="001012F7" w:rsidRPr="000B39F3">
        <w:rPr>
          <w:rFonts w:hAnsi="Arial"/>
        </w:rPr>
        <w:t>ruling</w:t>
      </w:r>
      <w:r w:rsidR="009255C0" w:rsidRPr="000B39F3">
        <w:rPr>
          <w:rFonts w:hAnsi="Arial"/>
        </w:rPr>
        <w:t xml:space="preserve"> </w:t>
      </w:r>
      <w:r w:rsidRPr="000B39F3">
        <w:rPr>
          <w:rFonts w:hAnsi="Arial"/>
        </w:rPr>
        <w:t>on the retra</w:t>
      </w:r>
      <w:r w:rsidR="00310750" w:rsidRPr="000B39F3">
        <w:rPr>
          <w:rFonts w:hAnsi="Arial"/>
        </w:rPr>
        <w:t>n</w:t>
      </w:r>
      <w:r w:rsidR="005D557F" w:rsidRPr="000B39F3">
        <w:rPr>
          <w:rFonts w:hAnsi="Arial"/>
        </w:rPr>
        <w:t>smission of</w:t>
      </w:r>
      <w:r w:rsidRPr="000B39F3">
        <w:rPr>
          <w:rFonts w:hAnsi="Arial"/>
        </w:rPr>
        <w:t xml:space="preserve"> a signal in hotel rooms, by applying a broad construct</w:t>
      </w:r>
      <w:r w:rsidR="00E34EA2" w:rsidRPr="000B39F3">
        <w:rPr>
          <w:rFonts w:hAnsi="Arial"/>
        </w:rPr>
        <w:t>, arguably because a profit was once again sought and because a broader audience was involved</w:t>
      </w:r>
      <w:r w:rsidRPr="000B39F3">
        <w:rPr>
          <w:rFonts w:hAnsi="Arial"/>
        </w:rPr>
        <w:t>.</w:t>
      </w:r>
      <w:r w:rsidRPr="000B39F3">
        <w:rPr>
          <w:rStyle w:val="FootnoteReference"/>
        </w:rPr>
        <w:footnoteReference w:id="125"/>
      </w:r>
      <w:r w:rsidRPr="000B39F3">
        <w:rPr>
          <w:rFonts w:hAnsi="Arial"/>
        </w:rPr>
        <w:t xml:space="preserve"> </w:t>
      </w:r>
      <w:r w:rsidR="005D557F" w:rsidRPr="000B39F3">
        <w:rPr>
          <w:rFonts w:hAnsi="Arial"/>
        </w:rPr>
        <w:t>The</w:t>
      </w:r>
      <w:r w:rsidRPr="000B39F3">
        <w:rPr>
          <w:rFonts w:hAnsi="Arial"/>
        </w:rPr>
        <w:t xml:space="preserve"> C</w:t>
      </w:r>
      <w:r w:rsidR="001012F7" w:rsidRPr="000B39F3">
        <w:rPr>
          <w:rFonts w:hAnsi="Arial"/>
        </w:rPr>
        <w:t>ourt inverts again</w:t>
      </w:r>
      <w:r w:rsidRPr="000B39F3">
        <w:rPr>
          <w:rFonts w:hAnsi="Arial"/>
        </w:rPr>
        <w:t xml:space="preserve"> when ruling on the communication of a work in a place open to the public, by adopting a narrow stance.</w:t>
      </w:r>
      <w:r w:rsidRPr="000B39F3">
        <w:rPr>
          <w:rStyle w:val="FootnoteReference"/>
        </w:rPr>
        <w:footnoteReference w:id="126"/>
      </w:r>
      <w:r w:rsidRPr="000B39F3">
        <w:rPr>
          <w:rFonts w:hAnsi="Arial"/>
        </w:rPr>
        <w:t xml:space="preserve"> Finally, the broad approach reappears when the </w:t>
      </w:r>
      <w:proofErr w:type="gramStart"/>
      <w:r w:rsidRPr="000B39F3">
        <w:rPr>
          <w:rFonts w:hAnsi="Arial"/>
        </w:rPr>
        <w:t>judges</w:t>
      </w:r>
      <w:proofErr w:type="gramEnd"/>
      <w:r w:rsidRPr="000B39F3">
        <w:rPr>
          <w:rFonts w:hAnsi="Arial"/>
        </w:rPr>
        <w:t xml:space="preserve"> rule on the retra</w:t>
      </w:r>
      <w:r w:rsidR="00D61E9F" w:rsidRPr="000B39F3">
        <w:rPr>
          <w:rFonts w:hAnsi="Arial"/>
        </w:rPr>
        <w:t>n</w:t>
      </w:r>
      <w:r w:rsidRPr="000B39F3">
        <w:rPr>
          <w:rFonts w:hAnsi="Arial"/>
        </w:rPr>
        <w:t>smission of TV shows via the Internet</w:t>
      </w:r>
      <w:r w:rsidR="00FB0BFC" w:rsidRPr="000B39F3">
        <w:rPr>
          <w:rStyle w:val="FootnoteReference"/>
        </w:rPr>
        <w:footnoteReference w:id="127"/>
      </w:r>
      <w:r w:rsidR="00FB0BFC" w:rsidRPr="000B39F3">
        <w:rPr>
          <w:rFonts w:hAnsi="Arial"/>
        </w:rPr>
        <w:t xml:space="preserve"> and on the broadcasting of TV signals in spa hotel rooms,</w:t>
      </w:r>
      <w:r w:rsidR="00FB0BFC" w:rsidRPr="000B39F3">
        <w:rPr>
          <w:rStyle w:val="FootnoteReference"/>
          <w:rFonts w:hAnsi="Arial"/>
        </w:rPr>
        <w:footnoteReference w:id="128"/>
      </w:r>
      <w:r w:rsidR="00FB0BFC" w:rsidRPr="000B39F3">
        <w:rPr>
          <w:rFonts w:hAnsi="Arial"/>
        </w:rPr>
        <w:t xml:space="preserve"> only to disappear again </w:t>
      </w:r>
      <w:r w:rsidR="00E34EA2" w:rsidRPr="000B39F3">
        <w:rPr>
          <w:rFonts w:hAnsi="Arial"/>
        </w:rPr>
        <w:t>when the case concern</w:t>
      </w:r>
      <w:r w:rsidR="001012F7" w:rsidRPr="000B39F3">
        <w:rPr>
          <w:rFonts w:hAnsi="Arial"/>
        </w:rPr>
        <w:t>ed</w:t>
      </w:r>
      <w:r w:rsidR="009255C0" w:rsidRPr="000B39F3">
        <w:rPr>
          <w:rFonts w:hAnsi="Arial"/>
        </w:rPr>
        <w:t xml:space="preserve"> </w:t>
      </w:r>
      <w:r w:rsidR="00FB0BFC" w:rsidRPr="000B39F3">
        <w:rPr>
          <w:rFonts w:hAnsi="Arial"/>
        </w:rPr>
        <w:t>internet links on a web page.</w:t>
      </w:r>
      <w:r w:rsidR="00FB0BFC" w:rsidRPr="000B39F3">
        <w:rPr>
          <w:rStyle w:val="FootnoteReference"/>
          <w:rFonts w:hAnsi="Arial"/>
        </w:rPr>
        <w:footnoteReference w:id="129"/>
      </w:r>
      <w:r w:rsidR="000D706B" w:rsidRPr="000B39F3">
        <w:rPr>
          <w:rFonts w:hAnsi="Arial"/>
        </w:rPr>
        <w:t xml:space="preserve"> What is interesting</w:t>
      </w:r>
      <w:r w:rsidR="00251F0B" w:rsidRPr="000B39F3">
        <w:rPr>
          <w:rFonts w:hAnsi="Arial"/>
        </w:rPr>
        <w:t xml:space="preserve"> to note</w:t>
      </w:r>
      <w:r w:rsidR="000D706B" w:rsidRPr="000B39F3">
        <w:rPr>
          <w:rFonts w:hAnsi="Arial"/>
        </w:rPr>
        <w:t xml:space="preserve"> is </w:t>
      </w:r>
      <w:r w:rsidR="00251F0B" w:rsidRPr="000B39F3">
        <w:rPr>
          <w:rFonts w:hAnsi="Arial"/>
        </w:rPr>
        <w:t>that t</w:t>
      </w:r>
      <w:r w:rsidR="000D706B" w:rsidRPr="000B39F3">
        <w:rPr>
          <w:rFonts w:hAnsi="Arial"/>
        </w:rPr>
        <w:t xml:space="preserve">he changes in </w:t>
      </w:r>
      <w:r w:rsidR="00251F0B" w:rsidRPr="000B39F3">
        <w:rPr>
          <w:rFonts w:hAnsi="Arial"/>
        </w:rPr>
        <w:t xml:space="preserve">the </w:t>
      </w:r>
      <w:r w:rsidR="000D706B" w:rsidRPr="000B39F3">
        <w:rPr>
          <w:rFonts w:hAnsi="Arial"/>
        </w:rPr>
        <w:t xml:space="preserve">approach of the Court do not </w:t>
      </w:r>
      <w:r w:rsidR="00251F0B" w:rsidRPr="000B39F3">
        <w:rPr>
          <w:rFonts w:hAnsi="Arial"/>
        </w:rPr>
        <w:t>depend on whether or not the</w:t>
      </w:r>
      <w:r w:rsidR="000D706B" w:rsidRPr="000B39F3">
        <w:rPr>
          <w:rFonts w:hAnsi="Arial"/>
        </w:rPr>
        <w:t xml:space="preserve"> communication rights </w:t>
      </w:r>
      <w:r w:rsidR="00251F0B" w:rsidRPr="000B39F3">
        <w:rPr>
          <w:rFonts w:hAnsi="Arial"/>
        </w:rPr>
        <w:t>stems from</w:t>
      </w:r>
      <w:r w:rsidR="000D706B" w:rsidRPr="000B39F3">
        <w:rPr>
          <w:rFonts w:hAnsi="Arial"/>
        </w:rPr>
        <w:t xml:space="preserve"> the </w:t>
      </w:r>
      <w:proofErr w:type="spellStart"/>
      <w:r w:rsidR="000D706B" w:rsidRPr="000B39F3">
        <w:rPr>
          <w:rFonts w:hAnsi="Arial"/>
        </w:rPr>
        <w:t>InfoSoc</w:t>
      </w:r>
      <w:proofErr w:type="spellEnd"/>
      <w:r w:rsidR="000D706B" w:rsidRPr="000B39F3">
        <w:rPr>
          <w:rFonts w:hAnsi="Arial"/>
        </w:rPr>
        <w:t xml:space="preserve"> Directiv</w:t>
      </w:r>
      <w:r w:rsidR="00251F0B" w:rsidRPr="000B39F3">
        <w:rPr>
          <w:rFonts w:hAnsi="Arial"/>
        </w:rPr>
        <w:t>e</w:t>
      </w:r>
      <w:r w:rsidR="00F82188" w:rsidRPr="000B39F3">
        <w:rPr>
          <w:rFonts w:hAnsi="Arial"/>
        </w:rPr>
        <w:t xml:space="preserve">, and it does not depend on the legal approaches applied to these cases either. According to our data, all the above </w:t>
      </w:r>
      <w:r w:rsidR="00D61E9F" w:rsidRPr="000B39F3">
        <w:rPr>
          <w:rFonts w:hAnsi="Arial"/>
        </w:rPr>
        <w:t>cases are grounded on a semantic</w:t>
      </w:r>
      <w:r w:rsidR="00F82188" w:rsidRPr="000B39F3">
        <w:rPr>
          <w:rFonts w:hAnsi="Arial"/>
        </w:rPr>
        <w:t xml:space="preserve"> interpretation of the law, confirmed by a teleological interpretation (in all cases) and by a systematic interpretation (in most cases)</w:t>
      </w:r>
      <w:r w:rsidR="003F2DCA" w:rsidRPr="000B39F3">
        <w:rPr>
          <w:rFonts w:hAnsi="Arial"/>
        </w:rPr>
        <w:t>.</w:t>
      </w:r>
      <w:r w:rsidR="009255C0" w:rsidRPr="000B39F3">
        <w:rPr>
          <w:rFonts w:hAnsi="Arial"/>
        </w:rPr>
        <w:t xml:space="preserve"> </w:t>
      </w:r>
      <w:r w:rsidR="00385E23" w:rsidRPr="000B39F3">
        <w:rPr>
          <w:rFonts w:hAnsi="Arial"/>
        </w:rPr>
        <w:t>The Court seems to operate a broad concept of communication to the public, but th</w:t>
      </w:r>
      <w:r w:rsidR="000E59E7" w:rsidRPr="000B39F3">
        <w:rPr>
          <w:rFonts w:hAnsi="Arial"/>
        </w:rPr>
        <w:t>is</w:t>
      </w:r>
      <w:r w:rsidR="00385E23" w:rsidRPr="000B39F3">
        <w:rPr>
          <w:rFonts w:hAnsi="Arial"/>
        </w:rPr>
        <w:t xml:space="preserve"> concept is applied in a balanced way, taking into account </w:t>
      </w:r>
      <w:r w:rsidR="00F05B44" w:rsidRPr="000B39F3">
        <w:rPr>
          <w:rFonts w:hAnsi="Arial"/>
        </w:rPr>
        <w:t xml:space="preserve">various </w:t>
      </w:r>
      <w:r w:rsidR="00385E23" w:rsidRPr="000B39F3">
        <w:rPr>
          <w:rFonts w:hAnsi="Arial"/>
        </w:rPr>
        <w:t>factors relating to the facts of the case</w:t>
      </w:r>
      <w:r w:rsidR="00F05B44" w:rsidRPr="000B39F3">
        <w:rPr>
          <w:rFonts w:hAnsi="Arial"/>
        </w:rPr>
        <w:t>.</w:t>
      </w:r>
      <w:r w:rsidR="009255C0" w:rsidRPr="000B39F3">
        <w:rPr>
          <w:rFonts w:hAnsi="Arial"/>
        </w:rPr>
        <w:t xml:space="preserve"> </w:t>
      </w:r>
    </w:p>
    <w:p w14:paraId="0BEF57A5" w14:textId="2D9AE11C" w:rsidR="0035446E" w:rsidRPr="000B39F3" w:rsidRDefault="0035446E" w:rsidP="00C67199">
      <w:pPr>
        <w:jc w:val="both"/>
      </w:pPr>
      <w:r w:rsidRPr="000B39F3">
        <w:t>Finally, a certain consistency has to be reported on the ap</w:t>
      </w:r>
      <w:r w:rsidR="00D61E9F" w:rsidRPr="000B39F3">
        <w:t>proach used by the ECJ i</w:t>
      </w:r>
      <w:r w:rsidRPr="000B39F3">
        <w:t xml:space="preserve">n cases regarding copyright enforcement, software protection, and term protection, although the small size of the sample on these </w:t>
      </w:r>
      <w:proofErr w:type="gramStart"/>
      <w:r w:rsidRPr="000B39F3">
        <w:t>subject-matters</w:t>
      </w:r>
      <w:proofErr w:type="gramEnd"/>
      <w:r w:rsidRPr="000B39F3">
        <w:t xml:space="preserve"> does not allow any conclusive findings. In the matter of enforcement, four cases are included in our sample. In two cases the </w:t>
      </w:r>
      <w:proofErr w:type="spellStart"/>
      <w:r w:rsidRPr="000B39F3">
        <w:t>rightholder</w:t>
      </w:r>
      <w:proofErr w:type="spellEnd"/>
      <w:r w:rsidRPr="000B39F3">
        <w:t xml:space="preserve"> has asked the Court to approve, by preliminary ruling, the imposition of filtering devices to Internet Service Providers in order to detect copyright infringement. In these two cases the Court refused to give a positive answer underpinning its arguments </w:t>
      </w:r>
      <w:r w:rsidR="00310750" w:rsidRPr="000B39F3">
        <w:t xml:space="preserve">with </w:t>
      </w:r>
      <w:r w:rsidRPr="000B39F3">
        <w:t>the protection of fundamental rights.</w:t>
      </w:r>
      <w:r w:rsidRPr="000B39F3">
        <w:rPr>
          <w:rStyle w:val="FootnoteReference"/>
        </w:rPr>
        <w:footnoteReference w:id="130"/>
      </w:r>
      <w:r w:rsidRPr="000B39F3">
        <w:t xml:space="preserve"> In another two cases, although not excluding the possibility for a national court to issue an order to release personal data in civil proceedings for copyright infringement, the Court invited the national judiciary to balance the interests at stake with fundamental rights (protection of personal data and privacy) and to respect the principle of proportionality.</w:t>
      </w:r>
      <w:r w:rsidRPr="000B39F3">
        <w:rPr>
          <w:rStyle w:val="FootnoteReference"/>
        </w:rPr>
        <w:footnoteReference w:id="131"/>
      </w:r>
      <w:r w:rsidRPr="000B39F3">
        <w:t xml:space="preserve"> The protection of fundamental rights in relation to copyright users therefore seems to find shelter under the </w:t>
      </w:r>
      <w:r w:rsidRPr="000B39F3">
        <w:rPr>
          <w:i/>
        </w:rPr>
        <w:t>aegis</w:t>
      </w:r>
      <w:r w:rsidRPr="000B39F3">
        <w:t xml:space="preserve"> of the Court.</w:t>
      </w:r>
    </w:p>
    <w:p w14:paraId="78021766" w14:textId="7A03F4B2" w:rsidR="0035446E" w:rsidRPr="000B39F3" w:rsidRDefault="0035446E" w:rsidP="00C67199">
      <w:pPr>
        <w:jc w:val="both"/>
      </w:pPr>
      <w:r w:rsidRPr="000B39F3">
        <w:t xml:space="preserve">On the matter of software, the sample </w:t>
      </w:r>
      <w:r w:rsidR="009A6580" w:rsidRPr="000B39F3">
        <w:t>includes</w:t>
      </w:r>
      <w:r w:rsidRPr="000B39F3">
        <w:t xml:space="preserve"> three cases, relating respectively to the object of protection, to the exception for </w:t>
      </w:r>
      <w:proofErr w:type="spellStart"/>
      <w:r w:rsidRPr="000B39F3">
        <w:t>decompilation</w:t>
      </w:r>
      <w:proofErr w:type="spellEnd"/>
      <w:r w:rsidRPr="000B39F3">
        <w:t xml:space="preserve">, and to the exhaustion of rights. Here the attitude of the Court seems to be somewhat opposite to what it is expected in the field of copyright protection. The right of the owner (object of protection) relating to the graphic user interface of </w:t>
      </w:r>
      <w:proofErr w:type="gramStart"/>
      <w:r w:rsidRPr="000B39F3">
        <w:t>a computer</w:t>
      </w:r>
      <w:proofErr w:type="gramEnd"/>
      <w:r w:rsidRPr="000B39F3">
        <w:t xml:space="preserve"> software</w:t>
      </w:r>
      <w:r w:rsidRPr="000B39F3">
        <w:rPr>
          <w:rStyle w:val="FootnoteReference"/>
        </w:rPr>
        <w:footnoteReference w:id="132"/>
      </w:r>
      <w:r w:rsidRPr="000B39F3">
        <w:t xml:space="preserve"> was construed narrowly. Conversely, an exception to copyright (</w:t>
      </w:r>
      <w:proofErr w:type="spellStart"/>
      <w:r w:rsidRPr="000B39F3">
        <w:t>decompilation</w:t>
      </w:r>
      <w:proofErr w:type="spellEnd"/>
      <w:r w:rsidRPr="000B39F3">
        <w:t>)</w:t>
      </w:r>
      <w:r w:rsidRPr="000B39F3">
        <w:rPr>
          <w:rStyle w:val="FootnoteReference"/>
        </w:rPr>
        <w:footnoteReference w:id="133"/>
      </w:r>
      <w:r w:rsidRPr="000B39F3">
        <w:t xml:space="preserve"> and a limitation (exhaustion)</w:t>
      </w:r>
      <w:r w:rsidRPr="000B39F3">
        <w:rPr>
          <w:rStyle w:val="FootnoteReference"/>
        </w:rPr>
        <w:footnoteReference w:id="134"/>
      </w:r>
      <w:r w:rsidRPr="000B39F3">
        <w:t xml:space="preserve"> were construed broadly.  </w:t>
      </w:r>
    </w:p>
    <w:p w14:paraId="0348A8AF" w14:textId="3514F557" w:rsidR="0035446E" w:rsidRPr="000B39F3" w:rsidRDefault="0035446E" w:rsidP="00C67199">
      <w:pPr>
        <w:jc w:val="both"/>
      </w:pPr>
      <w:r w:rsidRPr="000B39F3">
        <w:t xml:space="preserve">On the copyright term, finally, the data included two examples of cases in which the copyright protection was revived thanks to a number of EU directives. Although copyright term should be in principle </w:t>
      </w:r>
      <w:r w:rsidR="009A6580" w:rsidRPr="000B39F3">
        <w:t>a limit to copyright protection</w:t>
      </w:r>
      <w:r w:rsidRPr="000B39F3">
        <w:t xml:space="preserve"> </w:t>
      </w:r>
      <w:r w:rsidR="009A6580" w:rsidRPr="000B39F3">
        <w:t>(</w:t>
      </w:r>
      <w:r w:rsidRPr="000B39F3">
        <w:t>by limiting in time the entitlements of the copyright owners</w:t>
      </w:r>
      <w:r w:rsidR="009A6580" w:rsidRPr="000B39F3">
        <w:t>)</w:t>
      </w:r>
      <w:r w:rsidRPr="000B39F3">
        <w:t xml:space="preserve">, several pieces of </w:t>
      </w:r>
      <w:r w:rsidRPr="000B39F3">
        <w:lastRenderedPageBreak/>
        <w:t xml:space="preserve">legislation extending copyright protection, first to copyright than to related rights, have in </w:t>
      </w:r>
      <w:r w:rsidR="009A6580" w:rsidRPr="000B39F3">
        <w:t>effect</w:t>
      </w:r>
      <w:r w:rsidRPr="000B39F3">
        <w:t xml:space="preserve"> expanded the </w:t>
      </w:r>
      <w:r w:rsidR="00310750" w:rsidRPr="000B39F3">
        <w:t>streng</w:t>
      </w:r>
      <w:r w:rsidR="00D61E9F" w:rsidRPr="000B39F3">
        <w:t>th</w:t>
      </w:r>
      <w:r w:rsidR="009A6580" w:rsidRPr="000B39F3">
        <w:t xml:space="preserve"> </w:t>
      </w:r>
      <w:r w:rsidRPr="000B39F3">
        <w:t>of copyright protection. On this subject the Court has implemented a broad approach, by conferring copyright protection to works previously not protected</w:t>
      </w:r>
      <w:r w:rsidRPr="000B39F3">
        <w:rPr>
          <w:rStyle w:val="FootnoteReference"/>
        </w:rPr>
        <w:footnoteReference w:id="135"/>
      </w:r>
      <w:r w:rsidRPr="000B39F3">
        <w:t xml:space="preserve"> (or no longer protected) by copyright.</w:t>
      </w:r>
      <w:r w:rsidRPr="000B39F3">
        <w:rPr>
          <w:rStyle w:val="FootnoteReference"/>
        </w:rPr>
        <w:footnoteReference w:id="136"/>
      </w:r>
    </w:p>
    <w:p w14:paraId="157BE22C" w14:textId="77777777" w:rsidR="0035446E" w:rsidRPr="000B39F3" w:rsidRDefault="0035446E" w:rsidP="00C67199">
      <w:pPr>
        <w:jc w:val="both"/>
      </w:pPr>
      <w:r w:rsidRPr="000B39F3">
        <w:t>The above findings in the matter of enforcement, software and c</w:t>
      </w:r>
      <w:r w:rsidR="00D61E9F" w:rsidRPr="000B39F3">
        <w:t>opyright term can</w:t>
      </w:r>
      <w:r w:rsidRPr="000B39F3">
        <w:t xml:space="preserve"> give only indications of the approaches of the Court on a given subject matter, due to the </w:t>
      </w:r>
      <w:r w:rsidR="00D61E9F" w:rsidRPr="000B39F3">
        <w:t>small</w:t>
      </w:r>
      <w:r w:rsidRPr="000B39F3">
        <w:t xml:space="preserve"> size of the sample.</w:t>
      </w:r>
    </w:p>
    <w:p w14:paraId="64EF946E" w14:textId="77777777" w:rsidR="00EE3765" w:rsidRPr="000B39F3" w:rsidRDefault="00EE3765" w:rsidP="00C67199">
      <w:pPr>
        <w:jc w:val="both"/>
      </w:pPr>
    </w:p>
    <w:p w14:paraId="4CA065FD" w14:textId="77777777" w:rsidR="0035446E" w:rsidRPr="000B39F3" w:rsidRDefault="0035446E" w:rsidP="001E1BFF">
      <w:pPr>
        <w:jc w:val="both"/>
        <w:outlineLvl w:val="0"/>
      </w:pPr>
      <w:r w:rsidRPr="000B39F3">
        <w:rPr>
          <w:i/>
        </w:rPr>
        <w:t xml:space="preserve">Judges </w:t>
      </w:r>
      <w:proofErr w:type="spellStart"/>
      <w:r w:rsidRPr="000B39F3">
        <w:rPr>
          <w:i/>
        </w:rPr>
        <w:t>vs</w:t>
      </w:r>
      <w:proofErr w:type="spellEnd"/>
      <w:r w:rsidRPr="000B39F3">
        <w:rPr>
          <w:i/>
        </w:rPr>
        <w:t xml:space="preserve"> Advocate</w:t>
      </w:r>
      <w:r w:rsidR="00AF2A13" w:rsidRPr="000B39F3">
        <w:rPr>
          <w:i/>
        </w:rPr>
        <w:t>s</w:t>
      </w:r>
      <w:r w:rsidRPr="000B39F3">
        <w:rPr>
          <w:i/>
        </w:rPr>
        <w:t xml:space="preserve"> General</w:t>
      </w:r>
    </w:p>
    <w:p w14:paraId="407567A3" w14:textId="5EBEDD64" w:rsidR="0035446E" w:rsidRPr="000B39F3" w:rsidRDefault="0035446E" w:rsidP="00C67199">
      <w:pPr>
        <w:jc w:val="both"/>
      </w:pPr>
      <w:r w:rsidRPr="000B39F3">
        <w:t xml:space="preserve">The analysis of </w:t>
      </w:r>
      <w:r w:rsidR="003D2A5E" w:rsidRPr="000B39F3">
        <w:t>forty</w:t>
      </w:r>
      <w:r w:rsidR="0082665F" w:rsidRPr="000B39F3">
        <w:t xml:space="preserve"> cases involving</w:t>
      </w:r>
      <w:r w:rsidRPr="000B39F3">
        <w:t xml:space="preserve"> copyright and </w:t>
      </w:r>
      <w:r w:rsidR="00CE179E" w:rsidRPr="000B39F3">
        <w:t>related</w:t>
      </w:r>
      <w:r w:rsidRPr="000B39F3">
        <w:t xml:space="preserve"> rights revealed </w:t>
      </w:r>
      <w:r w:rsidR="0082665F" w:rsidRPr="000B39F3">
        <w:t xml:space="preserve">sometimes </w:t>
      </w:r>
      <w:r w:rsidRPr="000B39F3">
        <w:t xml:space="preserve">a </w:t>
      </w:r>
      <w:r w:rsidR="0082665F" w:rsidRPr="000B39F3">
        <w:t>tension</w:t>
      </w:r>
      <w:r w:rsidRPr="000B39F3">
        <w:t xml:space="preserve"> between the Op</w:t>
      </w:r>
      <w:r w:rsidR="00AF2A13" w:rsidRPr="000B39F3">
        <w:t>inions of the Advocates General</w:t>
      </w:r>
      <w:r w:rsidRPr="000B39F3">
        <w:t xml:space="preserve"> and the text of the </w:t>
      </w:r>
      <w:r w:rsidR="00EF4A18" w:rsidRPr="000B39F3">
        <w:t>Judgment</w:t>
      </w:r>
      <w:r w:rsidRPr="000B39F3">
        <w:t xml:space="preserve">s. In </w:t>
      </w:r>
      <w:r w:rsidR="003D2A5E" w:rsidRPr="000B39F3">
        <w:t>seven</w:t>
      </w:r>
      <w:r w:rsidRPr="000B39F3">
        <w:t xml:space="preserve"> of the examined </w:t>
      </w:r>
      <w:r w:rsidR="00601894" w:rsidRPr="000B39F3">
        <w:t xml:space="preserve">cases </w:t>
      </w:r>
      <w:r w:rsidRPr="000B39F3">
        <w:t>the Advocate General interpreted the main issue in a way contrastin</w:t>
      </w:r>
      <w:r w:rsidR="00EE3765" w:rsidRPr="000B39F3">
        <w:t>g to the interpretation of the j</w:t>
      </w:r>
      <w:r w:rsidRPr="000B39F3">
        <w:t xml:space="preserve">udges. When the judges had given a broad interpretation to the main issue, the AG had proposed a narrow interpretation and </w:t>
      </w:r>
      <w:r w:rsidRPr="000B39F3">
        <w:rPr>
          <w:i/>
        </w:rPr>
        <w:t>vice versa</w:t>
      </w:r>
      <w:r w:rsidRPr="000B39F3">
        <w:t>. The copyright issues on which these divergences took place are: communication to the public (three cases), equitable remuneration for broadcasting (two cases), fair compensation (one case), and exhaustion relating to software (one case). Interestingly, the combination of reporting judges and advocate</w:t>
      </w:r>
      <w:r w:rsidR="00AF2A13" w:rsidRPr="000B39F3">
        <w:t>s general</w:t>
      </w:r>
      <w:r w:rsidRPr="000B39F3">
        <w:t>, in these seven cases, is always different.</w:t>
      </w:r>
    </w:p>
    <w:p w14:paraId="7315B20D" w14:textId="45B0A987" w:rsidR="0035446E" w:rsidRPr="000B39F3" w:rsidRDefault="0035446E" w:rsidP="00C67199">
      <w:pPr>
        <w:jc w:val="both"/>
      </w:pPr>
      <w:r w:rsidRPr="000B39F3">
        <w:rPr>
          <w:rFonts w:hAnsi="Arial"/>
        </w:rPr>
        <w:t xml:space="preserve">In </w:t>
      </w:r>
      <w:r w:rsidRPr="000B39F3">
        <w:rPr>
          <w:rFonts w:hAnsi="Arial"/>
          <w:i/>
        </w:rPr>
        <w:t xml:space="preserve">VG </w:t>
      </w:r>
      <w:proofErr w:type="spellStart"/>
      <w:r w:rsidRPr="000B39F3">
        <w:rPr>
          <w:rFonts w:hAnsi="Arial"/>
          <w:i/>
        </w:rPr>
        <w:t>Wort</w:t>
      </w:r>
      <w:proofErr w:type="spellEnd"/>
      <w:r w:rsidRPr="000B39F3">
        <w:rPr>
          <w:rFonts w:hAnsi="Arial"/>
        </w:rPr>
        <w:t xml:space="preserve">, the reading of Article 5(2)(a) of Directive 2001/29/EC by Advocate General </w:t>
      </w:r>
      <w:proofErr w:type="spellStart"/>
      <w:r w:rsidRPr="000B39F3">
        <w:rPr>
          <w:rFonts w:hAnsi="Arial"/>
        </w:rPr>
        <w:t>Sharpston</w:t>
      </w:r>
      <w:proofErr w:type="spellEnd"/>
      <w:r w:rsidRPr="000B39F3">
        <w:rPr>
          <w:rFonts w:hAnsi="Arial"/>
        </w:rPr>
        <w:t xml:space="preserve"> diverged </w:t>
      </w:r>
      <w:r w:rsidR="00EE3765" w:rsidRPr="000B39F3">
        <w:rPr>
          <w:rFonts w:hAnsi="Arial"/>
        </w:rPr>
        <w:t>from</w:t>
      </w:r>
      <w:r w:rsidRPr="000B39F3">
        <w:rPr>
          <w:rFonts w:hAnsi="Arial"/>
        </w:rPr>
        <w:t xml:space="preserve"> the interpretation of the Court because she found that </w:t>
      </w:r>
      <w:r w:rsidR="00336396" w:rsidRPr="000B39F3">
        <w:rPr>
          <w:rFonts w:hAnsi="Arial"/>
        </w:rPr>
        <w:t>‘</w:t>
      </w:r>
      <w:r w:rsidRPr="000B39F3">
        <w:rPr>
          <w:rFonts w:hAnsi="Arial"/>
        </w:rPr>
        <w:t>reproduction on paper or any similar medium</w:t>
      </w:r>
      <w:r w:rsidR="00336396" w:rsidRPr="000B39F3">
        <w:rPr>
          <w:rFonts w:hAnsi="Arial"/>
        </w:rPr>
        <w:t>’</w:t>
      </w:r>
      <w:r w:rsidRPr="000B39F3">
        <w:rPr>
          <w:rFonts w:hAnsi="Arial"/>
        </w:rPr>
        <w:t xml:space="preserve"> referred only to </w:t>
      </w:r>
      <w:r w:rsidR="00336396" w:rsidRPr="000B39F3">
        <w:rPr>
          <w:rFonts w:hAnsi="Arial"/>
        </w:rPr>
        <w:t>‘</w:t>
      </w:r>
      <w:r w:rsidRPr="000B39F3">
        <w:rPr>
          <w:rFonts w:hAnsi="Arial"/>
        </w:rPr>
        <w:t>reproductions on analogue originals</w:t>
      </w:r>
      <w:r w:rsidR="00336396" w:rsidRPr="000B39F3">
        <w:rPr>
          <w:rFonts w:hAnsi="Arial"/>
        </w:rPr>
        <w:t>’</w:t>
      </w:r>
      <w:r w:rsidRPr="000B39F3">
        <w:rPr>
          <w:rFonts w:hAnsi="Arial"/>
        </w:rPr>
        <w:t xml:space="preserve">, whereas for the judges this wording referred also to </w:t>
      </w:r>
      <w:r w:rsidR="00336396" w:rsidRPr="000B39F3">
        <w:rPr>
          <w:rFonts w:hAnsi="Arial"/>
        </w:rPr>
        <w:t>‘</w:t>
      </w:r>
      <w:r w:rsidRPr="000B39F3">
        <w:rPr>
          <w:rFonts w:hAnsi="Arial"/>
        </w:rPr>
        <w:t>reproductions effected using a printer and a personal computer</w:t>
      </w:r>
      <w:r w:rsidR="00336396" w:rsidRPr="000B39F3">
        <w:rPr>
          <w:rFonts w:hAnsi="Arial"/>
        </w:rPr>
        <w:t>’</w:t>
      </w:r>
      <w:r w:rsidRPr="000B39F3">
        <w:rPr>
          <w:rFonts w:hAnsi="Arial"/>
        </w:rPr>
        <w:t xml:space="preserve">. The </w:t>
      </w:r>
      <w:proofErr w:type="gramStart"/>
      <w:r w:rsidRPr="000B39F3">
        <w:rPr>
          <w:rFonts w:hAnsi="Arial"/>
        </w:rPr>
        <w:t xml:space="preserve">concept of reproduction was therefore interpreted restrictively by AG </w:t>
      </w:r>
      <w:proofErr w:type="spellStart"/>
      <w:r w:rsidRPr="000B39F3">
        <w:rPr>
          <w:rFonts w:hAnsi="Arial"/>
        </w:rPr>
        <w:t>Sharpston</w:t>
      </w:r>
      <w:proofErr w:type="spellEnd"/>
      <w:r w:rsidRPr="000B39F3">
        <w:rPr>
          <w:rFonts w:hAnsi="Arial"/>
        </w:rPr>
        <w:t xml:space="preserve"> and broadly by the Court</w:t>
      </w:r>
      <w:proofErr w:type="gramEnd"/>
      <w:r w:rsidRPr="000B39F3">
        <w:rPr>
          <w:rFonts w:hAnsi="Arial"/>
        </w:rPr>
        <w:t>, although they both implemented the</w:t>
      </w:r>
      <w:r w:rsidR="00D61E9F" w:rsidRPr="000B39F3">
        <w:rPr>
          <w:rFonts w:hAnsi="Arial"/>
        </w:rPr>
        <w:t xml:space="preserve"> same legal </w:t>
      </w:r>
      <w:r w:rsidR="00D61E9F" w:rsidRPr="000B39F3">
        <w:rPr>
          <w:rFonts w:hAnsi="Arial"/>
          <w:i/>
        </w:rPr>
        <w:t>topoi</w:t>
      </w:r>
      <w:r w:rsidR="00D61E9F" w:rsidRPr="000B39F3">
        <w:rPr>
          <w:rFonts w:hAnsi="Arial"/>
        </w:rPr>
        <w:t xml:space="preserve"> (semantic</w:t>
      </w:r>
      <w:r w:rsidRPr="000B39F3">
        <w:rPr>
          <w:rFonts w:hAnsi="Arial"/>
        </w:rPr>
        <w:t xml:space="preserve">, </w:t>
      </w:r>
      <w:r w:rsidR="00D61E9F" w:rsidRPr="000B39F3">
        <w:rPr>
          <w:rFonts w:hAnsi="Arial"/>
        </w:rPr>
        <w:t>contextual and teleological</w:t>
      </w:r>
      <w:r w:rsidRPr="000B39F3">
        <w:rPr>
          <w:rFonts w:hAnsi="Arial"/>
        </w:rPr>
        <w:t xml:space="preserve">) to reach their respective conclusions. In </w:t>
      </w:r>
      <w:proofErr w:type="spellStart"/>
      <w:r w:rsidR="007E43F5" w:rsidRPr="000B39F3">
        <w:rPr>
          <w:rFonts w:hAnsi="Arial"/>
          <w:i/>
        </w:rPr>
        <w:t>UsedS</w:t>
      </w:r>
      <w:r w:rsidRPr="000B39F3">
        <w:rPr>
          <w:rFonts w:hAnsi="Arial"/>
          <w:i/>
        </w:rPr>
        <w:t>oft</w:t>
      </w:r>
      <w:proofErr w:type="spellEnd"/>
      <w:r w:rsidRPr="000B39F3">
        <w:rPr>
          <w:rFonts w:hAnsi="Arial"/>
        </w:rPr>
        <w:t>, according to Advocate General Bot the subsequent purchaser of a computer software cannot rely on the exhaustion of the distribution right of the owner, whereas the Court disagreed. Both the AG and the Court ar</w:t>
      </w:r>
      <w:r w:rsidR="00F33480" w:rsidRPr="000B39F3">
        <w:rPr>
          <w:rFonts w:hAnsi="Arial"/>
        </w:rPr>
        <w:t>gued for</w:t>
      </w:r>
      <w:r w:rsidRPr="000B39F3">
        <w:rPr>
          <w:rFonts w:hAnsi="Arial"/>
        </w:rPr>
        <w:t xml:space="preserve"> the same teleological interpretation of the principle of exhaustion,</w:t>
      </w:r>
      <w:r w:rsidRPr="000B39F3">
        <w:rPr>
          <w:rStyle w:val="FootnoteReference"/>
        </w:rPr>
        <w:footnoteReference w:id="137"/>
      </w:r>
      <w:r w:rsidRPr="000B39F3">
        <w:rPr>
          <w:rFonts w:hAnsi="Arial"/>
        </w:rPr>
        <w:t xml:space="preserve"> but they reached opposite conclusions. In </w:t>
      </w:r>
      <w:proofErr w:type="spellStart"/>
      <w:r w:rsidRPr="000B39F3">
        <w:rPr>
          <w:rFonts w:hAnsi="Arial"/>
          <w:i/>
        </w:rPr>
        <w:t>Lagard</w:t>
      </w:r>
      <w:r w:rsidRPr="000B39F3">
        <w:rPr>
          <w:rFonts w:hAnsi="Arial"/>
          <w:i/>
        </w:rPr>
        <w:t>é</w:t>
      </w:r>
      <w:r w:rsidRPr="000B39F3">
        <w:rPr>
          <w:rFonts w:hAnsi="Arial"/>
          <w:i/>
        </w:rPr>
        <w:t>re</w:t>
      </w:r>
      <w:proofErr w:type="spellEnd"/>
      <w:r w:rsidRPr="000B39F3">
        <w:rPr>
          <w:rFonts w:hAnsi="Arial"/>
        </w:rPr>
        <w:t xml:space="preserve"> and </w:t>
      </w:r>
      <w:r w:rsidRPr="000B39F3">
        <w:rPr>
          <w:rFonts w:hAnsi="Arial"/>
          <w:i/>
        </w:rPr>
        <w:t>SENA</w:t>
      </w:r>
      <w:r w:rsidRPr="000B39F3">
        <w:rPr>
          <w:rFonts w:hAnsi="Arial"/>
        </w:rPr>
        <w:t>, two of the first cases related to neighbouring rights, the Court and the AGs reached different conclusions on the equitable remuneration in Rental and Lending Rights while both employing teleological arguments.</w:t>
      </w:r>
      <w:r w:rsidRPr="000B39F3">
        <w:rPr>
          <w:rStyle w:val="FootnoteReference"/>
        </w:rPr>
        <w:footnoteReference w:id="138"/>
      </w:r>
    </w:p>
    <w:p w14:paraId="225C94C3" w14:textId="77777777" w:rsidR="0035446E" w:rsidRPr="000B39F3" w:rsidRDefault="0035446E" w:rsidP="00C67199">
      <w:pPr>
        <w:jc w:val="both"/>
      </w:pPr>
      <w:r w:rsidRPr="000B39F3">
        <w:rPr>
          <w:rFonts w:hAnsi="Arial"/>
        </w:rPr>
        <w:t xml:space="preserve">On the apparently thorny issue of communication to the public, three cases are available with a contrast between the opinion of the AG and the ruling of the Court. While Advocate General La Pergola in </w:t>
      </w:r>
      <w:proofErr w:type="spellStart"/>
      <w:r w:rsidRPr="000B39F3">
        <w:rPr>
          <w:rFonts w:hAnsi="Arial"/>
          <w:i/>
        </w:rPr>
        <w:t>Egeda</w:t>
      </w:r>
      <w:proofErr w:type="spellEnd"/>
      <w:r w:rsidRPr="000B39F3">
        <w:rPr>
          <w:rFonts w:hAnsi="Arial"/>
        </w:rPr>
        <w:t xml:space="preserve"> tried to convince the Court, without success, that broadcasting a signal in hotel rooms amounted to a </w:t>
      </w:r>
      <w:r w:rsidR="00336396" w:rsidRPr="000B39F3">
        <w:rPr>
          <w:rFonts w:hAnsi="Arial"/>
        </w:rPr>
        <w:lastRenderedPageBreak/>
        <w:t>‘</w:t>
      </w:r>
      <w:r w:rsidRPr="000B39F3">
        <w:rPr>
          <w:rFonts w:hAnsi="Arial"/>
        </w:rPr>
        <w:t>communication to the public</w:t>
      </w:r>
      <w:r w:rsidR="00336396" w:rsidRPr="000B39F3">
        <w:rPr>
          <w:rFonts w:hAnsi="Arial"/>
        </w:rPr>
        <w:t>’</w:t>
      </w:r>
      <w:r w:rsidRPr="000B39F3">
        <w:rPr>
          <w:rFonts w:hAnsi="Arial"/>
        </w:rPr>
        <w:t>,</w:t>
      </w:r>
      <w:r w:rsidRPr="000B39F3">
        <w:rPr>
          <w:rStyle w:val="FootnoteReference"/>
        </w:rPr>
        <w:footnoteReference w:id="139"/>
      </w:r>
      <w:r w:rsidRPr="000B39F3">
        <w:rPr>
          <w:rFonts w:hAnsi="Arial"/>
        </w:rPr>
        <w:t xml:space="preserve"> few years and a directive later (the </w:t>
      </w:r>
      <w:proofErr w:type="spellStart"/>
      <w:r w:rsidRPr="000B39F3">
        <w:rPr>
          <w:rFonts w:hAnsi="Arial"/>
        </w:rPr>
        <w:t>InfoSoc</w:t>
      </w:r>
      <w:proofErr w:type="spellEnd"/>
      <w:r w:rsidRPr="000B39F3">
        <w:rPr>
          <w:rFonts w:hAnsi="Arial"/>
        </w:rPr>
        <w:t xml:space="preserve"> Directive) AG </w:t>
      </w:r>
      <w:proofErr w:type="spellStart"/>
      <w:r w:rsidRPr="000B39F3">
        <w:rPr>
          <w:rFonts w:hAnsi="Arial"/>
        </w:rPr>
        <w:t>Sharpston</w:t>
      </w:r>
      <w:proofErr w:type="spellEnd"/>
      <w:r w:rsidRPr="000B39F3">
        <w:rPr>
          <w:rFonts w:hAnsi="Arial"/>
        </w:rPr>
        <w:t xml:space="preserve"> used the same arguments, repeatedly citing La Pergola, to convince the judges of the same point, with a different outcome.</w:t>
      </w:r>
      <w:r w:rsidRPr="000B39F3">
        <w:rPr>
          <w:rStyle w:val="FootnoteReference"/>
        </w:rPr>
        <w:footnoteReference w:id="140"/>
      </w:r>
    </w:p>
    <w:p w14:paraId="54C3B004" w14:textId="24FBE59E" w:rsidR="0035446E" w:rsidRPr="000B39F3" w:rsidRDefault="0035446E" w:rsidP="00C67199">
      <w:pPr>
        <w:jc w:val="both"/>
      </w:pPr>
      <w:r w:rsidRPr="000B39F3">
        <w:rPr>
          <w:rFonts w:hAnsi="Arial"/>
        </w:rPr>
        <w:t xml:space="preserve">Another divergence between AGs and judges is revealed by the analysis of the joint cases </w:t>
      </w:r>
      <w:r w:rsidRPr="000B39F3">
        <w:rPr>
          <w:rFonts w:hAnsi="Arial"/>
          <w:i/>
        </w:rPr>
        <w:t>Football Association</w:t>
      </w:r>
      <w:r w:rsidRPr="000B39F3">
        <w:rPr>
          <w:rFonts w:hAnsi="Arial"/>
        </w:rPr>
        <w:t xml:space="preserve"> and </w:t>
      </w:r>
      <w:r w:rsidRPr="000B39F3">
        <w:rPr>
          <w:rFonts w:hAnsi="Arial"/>
          <w:i/>
        </w:rPr>
        <w:t>Murphy</w:t>
      </w:r>
      <w:r w:rsidRPr="000B39F3">
        <w:rPr>
          <w:rFonts w:hAnsi="Arial"/>
        </w:rPr>
        <w:t xml:space="preserve">, where both Opinion and </w:t>
      </w:r>
      <w:r w:rsidR="00EF4A18" w:rsidRPr="000B39F3">
        <w:rPr>
          <w:rFonts w:hAnsi="Arial"/>
        </w:rPr>
        <w:t>Judgment</w:t>
      </w:r>
      <w:r w:rsidRPr="000B39F3">
        <w:rPr>
          <w:rFonts w:hAnsi="Arial"/>
        </w:rPr>
        <w:t xml:space="preserve"> reached the same result, by allowing Ms Murphy to use a Greek card in a British decoder, through two diverging tortuous paths.</w:t>
      </w:r>
      <w:r w:rsidRPr="000B39F3">
        <w:rPr>
          <w:rStyle w:val="FootnoteReference"/>
        </w:rPr>
        <w:footnoteReference w:id="141"/>
      </w:r>
      <w:r w:rsidRPr="000B39F3">
        <w:rPr>
          <w:rFonts w:hAnsi="Arial"/>
        </w:rPr>
        <w:t xml:space="preserve"> While both AG and Court gave a broad construction of the concept of </w:t>
      </w:r>
      <w:r w:rsidR="00336396" w:rsidRPr="000B39F3">
        <w:rPr>
          <w:rFonts w:hAnsi="Arial"/>
        </w:rPr>
        <w:t>‘</w:t>
      </w:r>
      <w:r w:rsidRPr="000B39F3">
        <w:rPr>
          <w:rFonts w:hAnsi="Arial"/>
        </w:rPr>
        <w:t>reproduction</w:t>
      </w:r>
      <w:r w:rsidR="00336396" w:rsidRPr="000B39F3">
        <w:rPr>
          <w:rFonts w:hAnsi="Arial"/>
        </w:rPr>
        <w:t>’</w:t>
      </w:r>
      <w:r w:rsidRPr="000B39F3">
        <w:rPr>
          <w:rFonts w:hAnsi="Arial"/>
        </w:rPr>
        <w:t>,</w:t>
      </w:r>
      <w:r w:rsidRPr="000B39F3">
        <w:rPr>
          <w:rStyle w:val="FootnoteReference"/>
        </w:rPr>
        <w:footnoteReference w:id="142"/>
      </w:r>
      <w:r w:rsidRPr="000B39F3">
        <w:rPr>
          <w:rFonts w:hAnsi="Arial"/>
        </w:rPr>
        <w:t xml:space="preserve"> AG </w:t>
      </w:r>
      <w:proofErr w:type="spellStart"/>
      <w:r w:rsidRPr="000B39F3">
        <w:rPr>
          <w:rFonts w:hAnsi="Arial"/>
        </w:rPr>
        <w:t>Kokott</w:t>
      </w:r>
      <w:proofErr w:type="spellEnd"/>
      <w:r w:rsidRPr="000B39F3">
        <w:rPr>
          <w:rFonts w:hAnsi="Arial"/>
        </w:rPr>
        <w:t xml:space="preserve"> did not see in the factual situation a </w:t>
      </w:r>
      <w:r w:rsidR="00336396" w:rsidRPr="000B39F3">
        <w:rPr>
          <w:rFonts w:hAnsi="Arial"/>
        </w:rPr>
        <w:t>‘</w:t>
      </w:r>
      <w:r w:rsidRPr="000B39F3">
        <w:rPr>
          <w:rFonts w:hAnsi="Arial"/>
        </w:rPr>
        <w:t>communication to the public</w:t>
      </w:r>
      <w:r w:rsidR="00336396" w:rsidRPr="000B39F3">
        <w:rPr>
          <w:rFonts w:hAnsi="Arial"/>
        </w:rPr>
        <w:t>’</w:t>
      </w:r>
      <w:r w:rsidRPr="000B39F3">
        <w:rPr>
          <w:rStyle w:val="FootnoteReference"/>
        </w:rPr>
        <w:footnoteReference w:id="143"/>
      </w:r>
      <w:r w:rsidRPr="000B39F3">
        <w:rPr>
          <w:rFonts w:hAnsi="Arial"/>
        </w:rPr>
        <w:t xml:space="preserve"> or an act of </w:t>
      </w:r>
      <w:r w:rsidR="00336396" w:rsidRPr="000B39F3">
        <w:rPr>
          <w:rFonts w:hAnsi="Arial"/>
        </w:rPr>
        <w:t>‘</w:t>
      </w:r>
      <w:r w:rsidRPr="000B39F3">
        <w:rPr>
          <w:rFonts w:hAnsi="Arial"/>
        </w:rPr>
        <w:t>transient reproduction</w:t>
      </w:r>
      <w:r w:rsidR="00336396" w:rsidRPr="000B39F3">
        <w:rPr>
          <w:rFonts w:hAnsi="Arial"/>
        </w:rPr>
        <w:t>’</w:t>
      </w:r>
      <w:r w:rsidRPr="000B39F3">
        <w:rPr>
          <w:rFonts w:hAnsi="Arial"/>
        </w:rPr>
        <w:t>,</w:t>
      </w:r>
      <w:r w:rsidRPr="000B39F3">
        <w:rPr>
          <w:rStyle w:val="FootnoteReference"/>
        </w:rPr>
        <w:footnoteReference w:id="144"/>
      </w:r>
      <w:r w:rsidRPr="000B39F3">
        <w:rPr>
          <w:rFonts w:hAnsi="Arial"/>
        </w:rPr>
        <w:t xml:space="preserve"> whereas the Court did.</w:t>
      </w:r>
      <w:r w:rsidRPr="000B39F3">
        <w:rPr>
          <w:rStyle w:val="FootnoteReference"/>
        </w:rPr>
        <w:footnoteReference w:id="145"/>
      </w:r>
      <w:r w:rsidRPr="000B39F3">
        <w:rPr>
          <w:rFonts w:hAnsi="Arial"/>
        </w:rPr>
        <w:t xml:space="preserve"> Both appealed to teleo</w:t>
      </w:r>
      <w:r w:rsidR="00D61E9F" w:rsidRPr="000B39F3">
        <w:rPr>
          <w:rFonts w:hAnsi="Arial"/>
        </w:rPr>
        <w:t>logical, systematic, and semanti</w:t>
      </w:r>
      <w:r w:rsidRPr="000B39F3">
        <w:rPr>
          <w:rFonts w:hAnsi="Arial"/>
        </w:rPr>
        <w:t xml:space="preserve">c arguments to prove their points. Finally, the broadcasting of a radio signal in a dentist practice was not considered an act of communication to the public in </w:t>
      </w:r>
      <w:r w:rsidRPr="000B39F3">
        <w:rPr>
          <w:rFonts w:hAnsi="Arial"/>
          <w:i/>
        </w:rPr>
        <w:t>SCF</w:t>
      </w:r>
      <w:r w:rsidRPr="000B39F3">
        <w:rPr>
          <w:rFonts w:hAnsi="Arial"/>
        </w:rPr>
        <w:t xml:space="preserve">, despite the efforts of AG </w:t>
      </w:r>
      <w:proofErr w:type="spellStart"/>
      <w:r w:rsidRPr="000B39F3">
        <w:t>Trstenjak</w:t>
      </w:r>
      <w:proofErr w:type="spellEnd"/>
      <w:r w:rsidRPr="000B39F3">
        <w:t xml:space="preserve">, who utilised the argument of the </w:t>
      </w:r>
      <w:r w:rsidR="00336396" w:rsidRPr="000B39F3">
        <w:t>‘</w:t>
      </w:r>
      <w:r w:rsidRPr="000B39F3">
        <w:t>spirit and purpose</w:t>
      </w:r>
      <w:r w:rsidR="00336396" w:rsidRPr="000B39F3">
        <w:t>’</w:t>
      </w:r>
      <w:r w:rsidRPr="000B39F3">
        <w:t xml:space="preserve"> of directive 2006/115/EC</w:t>
      </w:r>
      <w:r w:rsidRPr="000B39F3">
        <w:rPr>
          <w:rStyle w:val="FootnoteReference"/>
        </w:rPr>
        <w:footnoteReference w:id="146"/>
      </w:r>
      <w:r w:rsidRPr="000B39F3">
        <w:t xml:space="preserve"> to support broad protection for right holders, while the Court distinguished between the objectives of this directive and the objectives of the </w:t>
      </w:r>
      <w:proofErr w:type="spellStart"/>
      <w:r w:rsidRPr="000B39F3">
        <w:t>InfoSoc</w:t>
      </w:r>
      <w:proofErr w:type="spellEnd"/>
      <w:r w:rsidRPr="000B39F3">
        <w:t xml:space="preserve"> directive to argue for a narrow construct of the concept of communication to the public.</w:t>
      </w:r>
      <w:r w:rsidRPr="000B39F3">
        <w:rPr>
          <w:rStyle w:val="FootnoteReference"/>
        </w:rPr>
        <w:footnoteReference w:id="147"/>
      </w:r>
    </w:p>
    <w:p w14:paraId="1833489A" w14:textId="77777777" w:rsidR="00EE3765" w:rsidRPr="000B39F3" w:rsidRDefault="00EE3765" w:rsidP="00C67199">
      <w:pPr>
        <w:jc w:val="both"/>
      </w:pPr>
    </w:p>
    <w:p w14:paraId="7244659D" w14:textId="77777777" w:rsidR="005931F8" w:rsidRPr="000B39F3" w:rsidRDefault="0006116D" w:rsidP="001E1BFF">
      <w:pPr>
        <w:jc w:val="both"/>
        <w:outlineLvl w:val="0"/>
        <w:rPr>
          <w:i/>
        </w:rPr>
      </w:pPr>
      <w:r w:rsidRPr="000B39F3">
        <w:rPr>
          <w:i/>
        </w:rPr>
        <w:t>Court m</w:t>
      </w:r>
      <w:r w:rsidR="005E35C6" w:rsidRPr="000B39F3">
        <w:rPr>
          <w:i/>
        </w:rPr>
        <w:t>embers and their approach</w:t>
      </w:r>
    </w:p>
    <w:p w14:paraId="44FB21E9" w14:textId="71A3A6A7" w:rsidR="00BE58F0" w:rsidRPr="000B39F3" w:rsidRDefault="00293653" w:rsidP="00C67199">
      <w:pPr>
        <w:jc w:val="both"/>
        <w:rPr>
          <w:rFonts w:hAnsi="Arial"/>
        </w:rPr>
      </w:pPr>
      <w:r w:rsidRPr="000B39F3">
        <w:t xml:space="preserve">Judge Jiri </w:t>
      </w:r>
      <w:proofErr w:type="spellStart"/>
      <w:r w:rsidR="001E1BFF" w:rsidRPr="000B39F3">
        <w:t>Malenovský</w:t>
      </w:r>
      <w:proofErr w:type="spellEnd"/>
      <w:r w:rsidR="00597C12">
        <w:t xml:space="preserve"> </w:t>
      </w:r>
      <w:r w:rsidRPr="000B39F3">
        <w:t>was</w:t>
      </w:r>
      <w:r w:rsidR="005931F8" w:rsidRPr="000B39F3">
        <w:t xml:space="preserve"> the</w:t>
      </w:r>
      <w:r w:rsidR="00721FD8" w:rsidRPr="000B39F3">
        <w:t xml:space="preserve"> reporting judg</w:t>
      </w:r>
      <w:r w:rsidR="00CD4847" w:rsidRPr="000B39F3">
        <w:t xml:space="preserve">e in </w:t>
      </w:r>
      <w:r w:rsidR="00597C12">
        <w:t>24</w:t>
      </w:r>
      <w:r w:rsidR="00721FD8" w:rsidRPr="000B39F3">
        <w:t xml:space="preserve"> of the </w:t>
      </w:r>
      <w:r w:rsidR="00597C12">
        <w:t>40</w:t>
      </w:r>
      <w:r w:rsidR="005931F8" w:rsidRPr="000B39F3">
        <w:t xml:space="preserve"> cases relating to copyr</w:t>
      </w:r>
      <w:r w:rsidR="0048586E" w:rsidRPr="000B39F3">
        <w:t xml:space="preserve">ight and related </w:t>
      </w:r>
      <w:proofErr w:type="gramStart"/>
      <w:r w:rsidR="0048586E" w:rsidRPr="000B39F3">
        <w:t>subject-matter</w:t>
      </w:r>
      <w:proofErr w:type="gramEnd"/>
      <w:r w:rsidR="005931F8" w:rsidRPr="000B39F3">
        <w:t xml:space="preserve"> (excluding database</w:t>
      </w:r>
      <w:r w:rsidR="006516DA" w:rsidRPr="000B39F3">
        <w:t xml:space="preserve"> right</w:t>
      </w:r>
      <w:r w:rsidR="005931F8" w:rsidRPr="000B39F3">
        <w:t>). It is interesting therefore to compare hi</w:t>
      </w:r>
      <w:r w:rsidR="00721FD8" w:rsidRPr="000B39F3">
        <w:t>s approach to that of the other reporting judges</w:t>
      </w:r>
      <w:r w:rsidR="007F416A" w:rsidRPr="000B39F3">
        <w:t>.</w:t>
      </w:r>
      <w:r w:rsidR="00EE3765" w:rsidRPr="000B39F3">
        <w:t xml:space="preserve"> </w:t>
      </w:r>
      <w:r w:rsidR="005931F8" w:rsidRPr="000B39F3">
        <w:t xml:space="preserve">Judge </w:t>
      </w:r>
      <w:proofErr w:type="spellStart"/>
      <w:r w:rsidR="001E1BFF" w:rsidRPr="000B39F3">
        <w:t>Malenovský</w:t>
      </w:r>
      <w:proofErr w:type="spellEnd"/>
      <w:r w:rsidR="00EE3765" w:rsidRPr="000B39F3">
        <w:t xml:space="preserve"> </w:t>
      </w:r>
      <w:r w:rsidR="005931F8" w:rsidRPr="000B39F3">
        <w:t xml:space="preserve">seems to broaden the rights of the owner </w:t>
      </w:r>
      <w:r w:rsidR="00951B96" w:rsidRPr="000B39F3">
        <w:t xml:space="preserve">much </w:t>
      </w:r>
      <w:r w:rsidR="005931F8" w:rsidRPr="000B39F3">
        <w:t>more sparingly than his colleagues, by applying comparatively less often a broad interpretation of the rights and a narrow interpretation of the exceptions</w:t>
      </w:r>
      <w:r w:rsidR="00073B8A" w:rsidRPr="000B39F3">
        <w:t xml:space="preserve">. </w:t>
      </w:r>
      <w:r w:rsidR="00721FD8" w:rsidRPr="000B39F3">
        <w:t>The data suggest</w:t>
      </w:r>
      <w:r w:rsidR="00951B96" w:rsidRPr="000B39F3">
        <w:t xml:space="preserve"> that he</w:t>
      </w:r>
      <w:r w:rsidR="0021076A" w:rsidRPr="000B39F3">
        <w:t xml:space="preserve"> make</w:t>
      </w:r>
      <w:r w:rsidR="00951B96" w:rsidRPr="000B39F3">
        <w:t>s</w:t>
      </w:r>
      <w:r w:rsidR="0021076A" w:rsidRPr="000B39F3">
        <w:t xml:space="preserve"> less use of teleological interpretation </w:t>
      </w:r>
      <w:r w:rsidR="006539EC" w:rsidRPr="000B39F3">
        <w:t>compared to the others</w:t>
      </w:r>
      <w:r w:rsidR="00951B96" w:rsidRPr="000B39F3">
        <w:t xml:space="preserve"> and substantially more use of systematic approaches</w:t>
      </w:r>
      <w:r w:rsidR="00BE58F0" w:rsidRPr="000B39F3">
        <w:t xml:space="preserve">. </w:t>
      </w:r>
      <w:r w:rsidR="0026298F" w:rsidRPr="000B39F3">
        <w:t xml:space="preserve">Other judges such as </w:t>
      </w:r>
      <w:proofErr w:type="spellStart"/>
      <w:r w:rsidR="0026298F" w:rsidRPr="000B39F3">
        <w:t>Arestis</w:t>
      </w:r>
      <w:proofErr w:type="spellEnd"/>
      <w:r w:rsidR="0026298F" w:rsidRPr="000B39F3">
        <w:t xml:space="preserve"> and </w:t>
      </w:r>
      <w:proofErr w:type="spellStart"/>
      <w:r w:rsidR="0026298F" w:rsidRPr="000B39F3">
        <w:t>Puissochet</w:t>
      </w:r>
      <w:proofErr w:type="spellEnd"/>
      <w:r w:rsidR="0026298F" w:rsidRPr="000B39F3">
        <w:t xml:space="preserve"> clearly show higher favour towards </w:t>
      </w:r>
      <w:proofErr w:type="spellStart"/>
      <w:r w:rsidR="0026298F" w:rsidRPr="000B39F3">
        <w:t>rightholders</w:t>
      </w:r>
      <w:proofErr w:type="spellEnd"/>
      <w:r w:rsidR="0026298F" w:rsidRPr="000B39F3">
        <w:t xml:space="preserve">, although they use different arguments, </w:t>
      </w:r>
      <w:r w:rsidR="0026298F" w:rsidRPr="000B39F3">
        <w:lastRenderedPageBreak/>
        <w:t>pro</w:t>
      </w:r>
      <w:r w:rsidR="00A26532" w:rsidRPr="000B39F3">
        <w:t xml:space="preserve">mpted by different case subject </w:t>
      </w:r>
      <w:r w:rsidR="0026298F" w:rsidRPr="000B39F3">
        <w:t>matter.</w:t>
      </w:r>
      <w:r w:rsidR="00AD1382" w:rsidRPr="000B39F3">
        <w:t xml:space="preserve"> Judge</w:t>
      </w:r>
      <w:r w:rsidR="00EE3765" w:rsidRPr="000B39F3">
        <w:t xml:space="preserve"> </w:t>
      </w:r>
      <w:proofErr w:type="spellStart"/>
      <w:r w:rsidR="00D278FC" w:rsidRPr="000B39F3">
        <w:t>Arestis</w:t>
      </w:r>
      <w:proofErr w:type="spellEnd"/>
      <w:r w:rsidR="00D278FC" w:rsidRPr="000B39F3">
        <w:t xml:space="preserve"> often</w:t>
      </w:r>
      <w:r w:rsidR="0026298F" w:rsidRPr="000B39F3">
        <w:t xml:space="preserve"> argues for free </w:t>
      </w:r>
      <w:r w:rsidR="00D278FC" w:rsidRPr="000B39F3">
        <w:t>competition</w:t>
      </w:r>
      <w:r w:rsidR="0026298F" w:rsidRPr="000B39F3">
        <w:t xml:space="preserve">, because half of his cases relate to software, whereas Judge </w:t>
      </w:r>
      <w:proofErr w:type="spellStart"/>
      <w:r w:rsidR="0026298F" w:rsidRPr="000B39F3">
        <w:t>Puissochet</w:t>
      </w:r>
      <w:proofErr w:type="spellEnd"/>
      <w:r w:rsidR="0026298F" w:rsidRPr="000B39F3">
        <w:t xml:space="preserve">, who was in post before the </w:t>
      </w:r>
      <w:proofErr w:type="spellStart"/>
      <w:r w:rsidR="0026298F" w:rsidRPr="000B39F3">
        <w:t>InfoSoc</w:t>
      </w:r>
      <w:proofErr w:type="spellEnd"/>
      <w:r w:rsidR="0026298F" w:rsidRPr="000B39F3">
        <w:t xml:space="preserve"> directive entered in force, mostly argue</w:t>
      </w:r>
      <w:r w:rsidR="00EE3765" w:rsidRPr="000B39F3">
        <w:t>s</w:t>
      </w:r>
      <w:r w:rsidR="0026298F" w:rsidRPr="000B39F3">
        <w:t xml:space="preserve"> for harmoni</w:t>
      </w:r>
      <w:r w:rsidR="00975314" w:rsidRPr="000B39F3">
        <w:t>s</w:t>
      </w:r>
      <w:r w:rsidR="0026298F" w:rsidRPr="000B39F3">
        <w:t xml:space="preserve">ation of European law. </w:t>
      </w:r>
      <w:r w:rsidR="00794CF6">
        <w:rPr>
          <w:rFonts w:hAnsi="Arial"/>
        </w:rPr>
        <w:t>In essence, therefore, J</w:t>
      </w:r>
      <w:r w:rsidR="00D278FC" w:rsidRPr="000B39F3">
        <w:rPr>
          <w:rFonts w:hAnsi="Arial"/>
        </w:rPr>
        <w:t xml:space="preserve">udge </w:t>
      </w:r>
      <w:proofErr w:type="spellStart"/>
      <w:r w:rsidR="001E1BFF" w:rsidRPr="000B39F3">
        <w:rPr>
          <w:rFonts w:hAnsi="Arial"/>
        </w:rPr>
        <w:t>Malenovsk</w:t>
      </w:r>
      <w:r w:rsidR="001E1BFF" w:rsidRPr="000B39F3">
        <w:rPr>
          <w:rFonts w:hAnsi="Arial"/>
        </w:rPr>
        <w:t>ý</w:t>
      </w:r>
      <w:proofErr w:type="spellEnd"/>
      <w:r w:rsidR="00EE3765" w:rsidRPr="000B39F3">
        <w:rPr>
          <w:rFonts w:hAnsi="Arial"/>
        </w:rPr>
        <w:t xml:space="preserve"> </w:t>
      </w:r>
      <w:r w:rsidR="00BE58F0" w:rsidRPr="000B39F3">
        <w:rPr>
          <w:rFonts w:hAnsi="Arial"/>
        </w:rPr>
        <w:t xml:space="preserve">shows a more conservative attitude in the legal interpretation of copyright law while </w:t>
      </w:r>
      <w:r w:rsidR="00C814E9" w:rsidRPr="000B39F3">
        <w:rPr>
          <w:rFonts w:hAnsi="Arial"/>
        </w:rPr>
        <w:t>constructing</w:t>
      </w:r>
      <w:r w:rsidR="00BE58F0" w:rsidRPr="000B39F3">
        <w:rPr>
          <w:rFonts w:hAnsi="Arial"/>
        </w:rPr>
        <w:t xml:space="preserve"> the rights of the ow</w:t>
      </w:r>
      <w:r w:rsidR="00C814E9" w:rsidRPr="000B39F3">
        <w:rPr>
          <w:rFonts w:hAnsi="Arial"/>
        </w:rPr>
        <w:t>ner quite narrowly</w:t>
      </w:r>
      <w:r w:rsidR="00BE58F0" w:rsidRPr="000B39F3">
        <w:rPr>
          <w:rFonts w:hAnsi="Arial"/>
        </w:rPr>
        <w:t xml:space="preserve">. </w:t>
      </w:r>
      <w:r w:rsidR="0081544F" w:rsidRPr="000B39F3">
        <w:rPr>
          <w:rFonts w:hAnsi="Arial"/>
        </w:rPr>
        <w:t>At the same time,</w:t>
      </w:r>
      <w:r w:rsidR="00A44ACB" w:rsidRPr="000B39F3">
        <w:rPr>
          <w:rFonts w:hAnsi="Arial"/>
        </w:rPr>
        <w:t xml:space="preserve"> he </w:t>
      </w:r>
      <w:r w:rsidR="00D278FC" w:rsidRPr="000B39F3">
        <w:rPr>
          <w:rFonts w:hAnsi="Arial"/>
        </w:rPr>
        <w:t>shows the same recurrence of disagreement</w:t>
      </w:r>
      <w:r w:rsidR="00A44ACB" w:rsidRPr="000B39F3">
        <w:rPr>
          <w:rFonts w:hAnsi="Arial"/>
        </w:rPr>
        <w:t xml:space="preserve"> with Advocate</w:t>
      </w:r>
      <w:r w:rsidR="00AF2A13" w:rsidRPr="000B39F3">
        <w:rPr>
          <w:rFonts w:hAnsi="Arial"/>
        </w:rPr>
        <w:t>s General</w:t>
      </w:r>
      <w:r w:rsidR="00515F04" w:rsidRPr="000B39F3">
        <w:rPr>
          <w:rFonts w:hAnsi="Arial"/>
        </w:rPr>
        <w:t xml:space="preserve"> compared to his colleagues</w:t>
      </w:r>
      <w:r w:rsidR="00A44ACB" w:rsidRPr="000B39F3">
        <w:rPr>
          <w:rFonts w:hAnsi="Arial"/>
        </w:rPr>
        <w:t>.</w:t>
      </w:r>
    </w:p>
    <w:p w14:paraId="7150B471" w14:textId="7C2B693F" w:rsidR="002E352B" w:rsidRPr="000B39F3" w:rsidRDefault="005E35C6" w:rsidP="00C67199">
      <w:pPr>
        <w:jc w:val="both"/>
        <w:rPr>
          <w:rFonts w:hAnsi="Arial"/>
        </w:rPr>
      </w:pPr>
      <w:r w:rsidRPr="000B39F3">
        <w:rPr>
          <w:rFonts w:hAnsi="Arial"/>
        </w:rPr>
        <w:t>Among t</w:t>
      </w:r>
      <w:r w:rsidR="00293653" w:rsidRPr="000B39F3">
        <w:rPr>
          <w:rFonts w:hAnsi="Arial"/>
        </w:rPr>
        <w:t>he Advocate</w:t>
      </w:r>
      <w:r w:rsidR="00AF2A13" w:rsidRPr="000B39F3">
        <w:rPr>
          <w:rFonts w:hAnsi="Arial"/>
        </w:rPr>
        <w:t>s</w:t>
      </w:r>
      <w:r w:rsidR="00293653" w:rsidRPr="000B39F3">
        <w:rPr>
          <w:rFonts w:hAnsi="Arial"/>
        </w:rPr>
        <w:t xml:space="preserve"> G</w:t>
      </w:r>
      <w:r w:rsidR="00AF2A13" w:rsidRPr="000B39F3">
        <w:rPr>
          <w:rFonts w:hAnsi="Arial"/>
        </w:rPr>
        <w:t>eneral</w:t>
      </w:r>
      <w:r w:rsidRPr="000B39F3">
        <w:rPr>
          <w:rFonts w:hAnsi="Arial"/>
        </w:rPr>
        <w:t>, it is interesting</w:t>
      </w:r>
      <w:r w:rsidR="007F416A" w:rsidRPr="000B39F3">
        <w:rPr>
          <w:rFonts w:hAnsi="Arial"/>
        </w:rPr>
        <w:t xml:space="preserve"> to note that the two prevalent</w:t>
      </w:r>
      <w:r w:rsidRPr="000B39F3">
        <w:rPr>
          <w:rFonts w:hAnsi="Arial"/>
        </w:rPr>
        <w:t xml:space="preserve"> members in copyright cases, AG </w:t>
      </w:r>
      <w:proofErr w:type="spellStart"/>
      <w:r w:rsidRPr="000B39F3">
        <w:rPr>
          <w:rFonts w:hAnsi="Arial"/>
        </w:rPr>
        <w:t>Tristenjak</w:t>
      </w:r>
      <w:proofErr w:type="spellEnd"/>
      <w:r w:rsidRPr="000B39F3">
        <w:rPr>
          <w:rFonts w:hAnsi="Arial"/>
        </w:rPr>
        <w:t xml:space="preserve"> and AG </w:t>
      </w:r>
      <w:proofErr w:type="spellStart"/>
      <w:r w:rsidRPr="000B39F3">
        <w:rPr>
          <w:rFonts w:hAnsi="Arial"/>
        </w:rPr>
        <w:t>Sharpston</w:t>
      </w:r>
      <w:proofErr w:type="spellEnd"/>
      <w:r w:rsidRPr="000B39F3">
        <w:rPr>
          <w:rFonts w:hAnsi="Arial"/>
        </w:rPr>
        <w:t xml:space="preserve"> have a surprisingly similar approach. They both (and to the same extent) tend to favour the </w:t>
      </w:r>
      <w:proofErr w:type="spellStart"/>
      <w:r w:rsidRPr="000B39F3">
        <w:rPr>
          <w:rFonts w:hAnsi="Arial"/>
        </w:rPr>
        <w:t>rightholder</w:t>
      </w:r>
      <w:proofErr w:type="spellEnd"/>
      <w:r w:rsidRPr="000B39F3">
        <w:rPr>
          <w:rFonts w:hAnsi="Arial"/>
        </w:rPr>
        <w:t xml:space="preserve"> </w:t>
      </w:r>
      <w:r w:rsidR="00EE3765" w:rsidRPr="000B39F3">
        <w:rPr>
          <w:rFonts w:hAnsi="Arial"/>
        </w:rPr>
        <w:t>less</w:t>
      </w:r>
      <w:r w:rsidRPr="000B39F3">
        <w:rPr>
          <w:rFonts w:hAnsi="Arial"/>
        </w:rPr>
        <w:t xml:space="preserve"> than their colleagues and they both implement (to the same extent) the argument of the </w:t>
      </w:r>
      <w:r w:rsidR="00336396" w:rsidRPr="000B39F3">
        <w:rPr>
          <w:rFonts w:hAnsi="Arial"/>
        </w:rPr>
        <w:t>‘</w:t>
      </w:r>
      <w:r w:rsidR="0026298F" w:rsidRPr="000B39F3">
        <w:rPr>
          <w:rFonts w:hAnsi="Arial"/>
        </w:rPr>
        <w:t>high</w:t>
      </w:r>
      <w:r w:rsidRPr="000B39F3">
        <w:rPr>
          <w:rFonts w:hAnsi="Arial"/>
        </w:rPr>
        <w:t xml:space="preserve"> protection</w:t>
      </w:r>
      <w:r w:rsidR="00336396" w:rsidRPr="000B39F3">
        <w:rPr>
          <w:rFonts w:hAnsi="Arial"/>
        </w:rPr>
        <w:t>’</w:t>
      </w:r>
      <w:r w:rsidRPr="000B39F3">
        <w:rPr>
          <w:rFonts w:hAnsi="Arial"/>
        </w:rPr>
        <w:t xml:space="preserve"> for the </w:t>
      </w:r>
      <w:r w:rsidR="00A26532" w:rsidRPr="000B39F3">
        <w:rPr>
          <w:rFonts w:hAnsi="Arial"/>
        </w:rPr>
        <w:t>copyright holder</w:t>
      </w:r>
      <w:r w:rsidRPr="000B39F3">
        <w:rPr>
          <w:rFonts w:hAnsi="Arial"/>
        </w:rPr>
        <w:t xml:space="preserve"> more often than their colleagues. Among the latter, </w:t>
      </w:r>
      <w:r w:rsidR="00AD1382" w:rsidRPr="000B39F3">
        <w:rPr>
          <w:rFonts w:hAnsi="Arial"/>
        </w:rPr>
        <w:t>at least two deserve</w:t>
      </w:r>
      <w:r w:rsidR="00D278FC" w:rsidRPr="000B39F3">
        <w:rPr>
          <w:rFonts w:hAnsi="Arial"/>
        </w:rPr>
        <w:t xml:space="preserve"> to be cited:</w:t>
      </w:r>
      <w:r w:rsidR="00EE3765" w:rsidRPr="000B39F3">
        <w:rPr>
          <w:rFonts w:hAnsi="Arial"/>
        </w:rPr>
        <w:t xml:space="preserve"> </w:t>
      </w:r>
      <w:r w:rsidR="00D278FC" w:rsidRPr="000B39F3">
        <w:rPr>
          <w:rFonts w:hAnsi="Arial"/>
        </w:rPr>
        <w:t xml:space="preserve">AG </w:t>
      </w:r>
      <w:proofErr w:type="spellStart"/>
      <w:r w:rsidR="00D278FC" w:rsidRPr="000B39F3">
        <w:rPr>
          <w:rFonts w:hAnsi="Arial"/>
        </w:rPr>
        <w:t>Jaaskinen</w:t>
      </w:r>
      <w:proofErr w:type="spellEnd"/>
      <w:r w:rsidR="00D278FC" w:rsidRPr="000B39F3">
        <w:rPr>
          <w:rFonts w:hAnsi="Arial"/>
        </w:rPr>
        <w:t xml:space="preserve"> who has advised in favour of </w:t>
      </w:r>
      <w:proofErr w:type="spellStart"/>
      <w:r w:rsidRPr="000B39F3">
        <w:rPr>
          <w:rFonts w:hAnsi="Arial"/>
        </w:rPr>
        <w:t>rightholders</w:t>
      </w:r>
      <w:proofErr w:type="spellEnd"/>
      <w:r w:rsidR="00D278FC" w:rsidRPr="000B39F3">
        <w:rPr>
          <w:rFonts w:hAnsi="Arial"/>
        </w:rPr>
        <w:t xml:space="preserve"> in all his cases</w:t>
      </w:r>
      <w:r w:rsidRPr="000B39F3">
        <w:rPr>
          <w:rFonts w:hAnsi="Arial"/>
        </w:rPr>
        <w:t>, and AG Bot</w:t>
      </w:r>
      <w:r w:rsidR="00D278FC" w:rsidRPr="000B39F3">
        <w:rPr>
          <w:rFonts w:hAnsi="Arial"/>
        </w:rPr>
        <w:t xml:space="preserve"> who consistently expressed opinion</w:t>
      </w:r>
      <w:r w:rsidR="00293653" w:rsidRPr="000B39F3">
        <w:rPr>
          <w:rFonts w:hAnsi="Arial"/>
        </w:rPr>
        <w:t>s</w:t>
      </w:r>
      <w:r w:rsidR="00D278FC" w:rsidRPr="000B39F3">
        <w:rPr>
          <w:rFonts w:hAnsi="Arial"/>
        </w:rPr>
        <w:t xml:space="preserve"> against the </w:t>
      </w:r>
      <w:proofErr w:type="spellStart"/>
      <w:r w:rsidR="00D278FC" w:rsidRPr="000B39F3">
        <w:rPr>
          <w:rFonts w:hAnsi="Arial"/>
        </w:rPr>
        <w:t>rightholder</w:t>
      </w:r>
      <w:proofErr w:type="spellEnd"/>
      <w:r w:rsidR="00D278FC" w:rsidRPr="000B39F3">
        <w:rPr>
          <w:rFonts w:hAnsi="Arial"/>
        </w:rPr>
        <w:t xml:space="preserve"> in his software-related </w:t>
      </w:r>
      <w:proofErr w:type="spellStart"/>
      <w:proofErr w:type="gramStart"/>
      <w:r w:rsidR="00D278FC" w:rsidRPr="000B39F3">
        <w:rPr>
          <w:rFonts w:hAnsi="Arial"/>
        </w:rPr>
        <w:t>cases.</w:t>
      </w:r>
      <w:r w:rsidR="002E352B" w:rsidRPr="000B39F3">
        <w:rPr>
          <w:rFonts w:hAnsi="Arial"/>
        </w:rPr>
        <w:t>The</w:t>
      </w:r>
      <w:proofErr w:type="spellEnd"/>
      <w:proofErr w:type="gramEnd"/>
      <w:r w:rsidR="002E352B" w:rsidRPr="000B39F3">
        <w:rPr>
          <w:rFonts w:hAnsi="Arial"/>
        </w:rPr>
        <w:t xml:space="preserve"> first used arguments for free competition, overcoming legal uncertainty, and high protection of the author, to the same extent. The second argued for competition, harmoni</w:t>
      </w:r>
      <w:r w:rsidR="00975314" w:rsidRPr="000B39F3">
        <w:rPr>
          <w:rFonts w:hAnsi="Arial"/>
        </w:rPr>
        <w:t>s</w:t>
      </w:r>
      <w:r w:rsidR="002E352B" w:rsidRPr="000B39F3">
        <w:rPr>
          <w:rFonts w:hAnsi="Arial"/>
        </w:rPr>
        <w:t>ation and, to a less</w:t>
      </w:r>
      <w:r w:rsidR="00C814E9" w:rsidRPr="000B39F3">
        <w:rPr>
          <w:rFonts w:hAnsi="Arial"/>
        </w:rPr>
        <w:t>er</w:t>
      </w:r>
      <w:r w:rsidR="002E352B" w:rsidRPr="000B39F3">
        <w:rPr>
          <w:rFonts w:hAnsi="Arial"/>
        </w:rPr>
        <w:t xml:space="preserve"> extent, fair balance of rights.</w:t>
      </w:r>
    </w:p>
    <w:p w14:paraId="51A513D8" w14:textId="77777777" w:rsidR="00EE3765" w:rsidRPr="000B39F3" w:rsidRDefault="00EE3765" w:rsidP="00C67199">
      <w:pPr>
        <w:jc w:val="both"/>
        <w:rPr>
          <w:rFonts w:hAnsi="Arial"/>
        </w:rPr>
      </w:pPr>
    </w:p>
    <w:p w14:paraId="40275A39" w14:textId="77777777" w:rsidR="0035446E" w:rsidRPr="000B39F3" w:rsidRDefault="0035446E" w:rsidP="001E1BFF">
      <w:pPr>
        <w:jc w:val="both"/>
        <w:outlineLvl w:val="0"/>
        <w:rPr>
          <w:i/>
        </w:rPr>
      </w:pPr>
      <w:r w:rsidRPr="000B39F3">
        <w:rPr>
          <w:i/>
        </w:rPr>
        <w:t>Database rights</w:t>
      </w:r>
    </w:p>
    <w:p w14:paraId="40BD0A42" w14:textId="02359D74" w:rsidR="0035446E" w:rsidRPr="000B39F3" w:rsidRDefault="0035446E" w:rsidP="00C67199">
      <w:pPr>
        <w:jc w:val="both"/>
      </w:pPr>
      <w:r w:rsidRPr="000B39F3">
        <w:t xml:space="preserve">Within the framework of </w:t>
      </w:r>
      <w:r w:rsidR="00EE3765" w:rsidRPr="000B39F3">
        <w:t>this</w:t>
      </w:r>
      <w:r w:rsidRPr="000B39F3">
        <w:t xml:space="preserve"> study, a separate dataset was collected </w:t>
      </w:r>
      <w:r w:rsidR="00C814E9" w:rsidRPr="000B39F3">
        <w:t>of</w:t>
      </w:r>
      <w:r w:rsidRPr="000B39F3">
        <w:t xml:space="preserve"> nine cases relating to the </w:t>
      </w:r>
      <w:r w:rsidRPr="000B39F3">
        <w:rPr>
          <w:i/>
        </w:rPr>
        <w:t>sui generis</w:t>
      </w:r>
      <w:r w:rsidRPr="000B39F3">
        <w:t xml:space="preserve"> database rights,</w:t>
      </w:r>
      <w:r w:rsidRPr="000B39F3">
        <w:rPr>
          <w:rStyle w:val="FootnoteReference"/>
          <w:rFonts w:ascii="Calibri"/>
        </w:rPr>
        <w:footnoteReference w:id="148"/>
      </w:r>
      <w:r w:rsidRPr="000B39F3">
        <w:t xml:space="preserve"> which was examined with the same approach applied to copyright </w:t>
      </w:r>
      <w:proofErr w:type="gramStart"/>
      <w:r w:rsidRPr="000B39F3">
        <w:t>case-law</w:t>
      </w:r>
      <w:proofErr w:type="gramEnd"/>
      <w:r w:rsidRPr="000B39F3">
        <w:t xml:space="preserve">. The sample was analysed separately in order to avoid distortions of the findings caused by a type of entitlement (the </w:t>
      </w:r>
      <w:r w:rsidRPr="000B39F3">
        <w:rPr>
          <w:i/>
        </w:rPr>
        <w:t>sui generis</w:t>
      </w:r>
      <w:r w:rsidR="00794CF6">
        <w:t xml:space="preserve"> rights</w:t>
      </w:r>
      <w:proofErr w:type="gramStart"/>
      <w:r w:rsidR="00794CF6">
        <w:t>) which</w:t>
      </w:r>
      <w:proofErr w:type="gramEnd"/>
      <w:r w:rsidR="00794CF6">
        <w:t xml:space="preserve">, </w:t>
      </w:r>
      <w:r w:rsidRPr="000B39F3">
        <w:t>albeit closely related to copyright, retain</w:t>
      </w:r>
      <w:r w:rsidR="00AD1382" w:rsidRPr="000B39F3">
        <w:t>s</w:t>
      </w:r>
      <w:r w:rsidRPr="000B39F3">
        <w:t xml:space="preserve"> its own characteristics and peculiarities. </w:t>
      </w:r>
    </w:p>
    <w:p w14:paraId="2F3F5FBE" w14:textId="3EDBF8B7" w:rsidR="008E7A8A" w:rsidRPr="000B39F3" w:rsidRDefault="0035446E" w:rsidP="00C67199">
      <w:pPr>
        <w:jc w:val="both"/>
      </w:pPr>
      <w:r w:rsidRPr="000B39F3">
        <w:t xml:space="preserve">Cases on the </w:t>
      </w:r>
      <w:r w:rsidRPr="000B39F3">
        <w:rPr>
          <w:i/>
        </w:rPr>
        <w:t>sui generis</w:t>
      </w:r>
      <w:r w:rsidRPr="000B39F3">
        <w:t xml:space="preserve"> rights discuss mostly the scope of database protection, including the definition of concepts such as </w:t>
      </w:r>
      <w:r w:rsidR="00336396" w:rsidRPr="000B39F3">
        <w:t>‘</w:t>
      </w:r>
      <w:r w:rsidRPr="000B39F3">
        <w:t>extraction</w:t>
      </w:r>
      <w:r w:rsidR="00336396" w:rsidRPr="000B39F3">
        <w:t>’</w:t>
      </w:r>
      <w:r w:rsidRPr="000B39F3">
        <w:t xml:space="preserve">, </w:t>
      </w:r>
      <w:r w:rsidR="00336396" w:rsidRPr="000B39F3">
        <w:t>‘</w:t>
      </w:r>
      <w:r w:rsidRPr="000B39F3">
        <w:t>re-utilization</w:t>
      </w:r>
      <w:r w:rsidR="00336396" w:rsidRPr="000B39F3">
        <w:t>’</w:t>
      </w:r>
      <w:r w:rsidRPr="000B39F3">
        <w:t xml:space="preserve">, </w:t>
      </w:r>
      <w:r w:rsidR="00336396" w:rsidRPr="000B39F3">
        <w:t>‘</w:t>
      </w:r>
      <w:r w:rsidRPr="000B39F3">
        <w:t>investment</w:t>
      </w:r>
      <w:r w:rsidR="00336396" w:rsidRPr="000B39F3">
        <w:t>’</w:t>
      </w:r>
      <w:r w:rsidRPr="000B39F3">
        <w:t xml:space="preserve"> and </w:t>
      </w:r>
      <w:r w:rsidR="00336396" w:rsidRPr="000B39F3">
        <w:t>‘</w:t>
      </w:r>
      <w:r w:rsidRPr="000B39F3">
        <w:t>substantial part</w:t>
      </w:r>
      <w:r w:rsidR="00336396" w:rsidRPr="000B39F3">
        <w:t>’</w:t>
      </w:r>
      <w:r w:rsidRPr="000B39F3">
        <w:t xml:space="preserve">. A few differences can be detected between the approaches to database rights and to copyright. First, there is hardly any reference in the ruling to </w:t>
      </w:r>
      <w:r w:rsidR="00063749" w:rsidRPr="000B39F3">
        <w:t>the history of the legislation</w:t>
      </w:r>
      <w:r w:rsidRPr="000B39F3">
        <w:t xml:space="preserve">, whereas in all examined cases there is a reference to the objective of the legislation. Further, interpretation of European law in the light of international legislation </w:t>
      </w:r>
      <w:r w:rsidR="00DA02BC" w:rsidRPr="000B39F3">
        <w:t>is</w:t>
      </w:r>
      <w:r w:rsidRPr="000B39F3">
        <w:t xml:space="preserve"> much less recurrent in database cases than</w:t>
      </w:r>
      <w:r w:rsidR="008E7A8A" w:rsidRPr="000B39F3">
        <w:t xml:space="preserve"> in c</w:t>
      </w:r>
      <w:r w:rsidRPr="000B39F3">
        <w:t>opyright cases</w:t>
      </w:r>
      <w:r w:rsidR="00C814E9" w:rsidRPr="000B39F3">
        <w:t xml:space="preserve"> (unsurprisingly, since the database right is a European</w:t>
      </w:r>
      <w:r w:rsidR="00DA02BC" w:rsidRPr="000B39F3">
        <w:t xml:space="preserve"> creation</w:t>
      </w:r>
      <w:r w:rsidR="00C814E9" w:rsidRPr="000B39F3">
        <w:t>)</w:t>
      </w:r>
      <w:r w:rsidRPr="000B39F3">
        <w:t xml:space="preserve">. Moreover, the </w:t>
      </w:r>
      <w:r w:rsidR="00063749" w:rsidRPr="000B39F3">
        <w:t>self</w:t>
      </w:r>
      <w:r w:rsidRPr="000B39F3">
        <w:t xml:space="preserve">-referencing of the Court, </w:t>
      </w:r>
      <w:r w:rsidR="00EE3765" w:rsidRPr="000B39F3">
        <w:t>captured</w:t>
      </w:r>
      <w:r w:rsidRPr="000B39F3">
        <w:t xml:space="preserve"> as the average of cita</w:t>
      </w:r>
      <w:r w:rsidR="002C626F" w:rsidRPr="000B39F3">
        <w:t xml:space="preserve">tions of previous European </w:t>
      </w:r>
      <w:proofErr w:type="gramStart"/>
      <w:r w:rsidR="002C626F" w:rsidRPr="000B39F3">
        <w:t>case-</w:t>
      </w:r>
      <w:r w:rsidRPr="000B39F3">
        <w:t>law</w:t>
      </w:r>
      <w:proofErr w:type="gramEnd"/>
      <w:r w:rsidRPr="000B39F3">
        <w:t>, is much weaker in database case</w:t>
      </w:r>
      <w:r w:rsidR="002C626F" w:rsidRPr="000B39F3">
        <w:t>-law than in copyright case-</w:t>
      </w:r>
      <w:r w:rsidR="008E7A8A" w:rsidRPr="000B39F3">
        <w:t>law</w:t>
      </w:r>
      <w:r w:rsidRPr="000B39F3">
        <w:t>. Finally, a rather interesting finding reveals virtually no conflict on database rights between the position of the judges and the opinion of the Advocate General.</w:t>
      </w:r>
      <w:r w:rsidRPr="000B39F3">
        <w:rPr>
          <w:rStyle w:val="FootnoteReference"/>
        </w:rPr>
        <w:footnoteReference w:id="149"/>
      </w:r>
      <w:r w:rsidR="009D5BAD" w:rsidRPr="000B39F3">
        <w:t xml:space="preserve"> Overall, the share of cases related to database protection that are ruled in favour of the owner resembles the share of cases stemming from the </w:t>
      </w:r>
      <w:proofErr w:type="spellStart"/>
      <w:r w:rsidR="009D5BAD" w:rsidRPr="000B39F3">
        <w:t>InfoSoc</w:t>
      </w:r>
      <w:proofErr w:type="spellEnd"/>
      <w:r w:rsidR="009D5BAD" w:rsidRPr="000B39F3">
        <w:t xml:space="preserve"> Directive, and is therefore higher than th</w:t>
      </w:r>
      <w:r w:rsidR="002C626F" w:rsidRPr="000B39F3">
        <w:t>e share of pro-</w:t>
      </w:r>
      <w:proofErr w:type="spellStart"/>
      <w:r w:rsidR="002C626F" w:rsidRPr="000B39F3">
        <w:t>rightholder</w:t>
      </w:r>
      <w:proofErr w:type="spellEnd"/>
      <w:r w:rsidR="002C626F" w:rsidRPr="000B39F3">
        <w:t xml:space="preserve"> case-</w:t>
      </w:r>
      <w:r w:rsidR="00C814E9" w:rsidRPr="000B39F3">
        <w:t xml:space="preserve">law </w:t>
      </w:r>
      <w:r w:rsidR="00950BCB" w:rsidRPr="000B39F3">
        <w:t>linked</w:t>
      </w:r>
      <w:r w:rsidR="009D5BAD" w:rsidRPr="000B39F3">
        <w:t xml:space="preserve"> to other directives.</w:t>
      </w:r>
    </w:p>
    <w:p w14:paraId="2D48C6BA" w14:textId="17E16A76" w:rsidR="0035446E" w:rsidRPr="000B39F3" w:rsidRDefault="008E7A8A" w:rsidP="00C67199">
      <w:pPr>
        <w:jc w:val="both"/>
      </w:pPr>
      <w:r w:rsidRPr="000B39F3">
        <w:t>In sum</w:t>
      </w:r>
      <w:r w:rsidR="0035446E" w:rsidRPr="000B39F3">
        <w:t>, differences in th</w:t>
      </w:r>
      <w:r w:rsidRPr="000B39F3">
        <w:t>e implementation of the teleological approach of European judges between</w:t>
      </w:r>
      <w:r w:rsidR="0035446E" w:rsidRPr="000B39F3">
        <w:t xml:space="preserve"> the rights of the owner of </w:t>
      </w:r>
      <w:r w:rsidRPr="000B39F3">
        <w:t xml:space="preserve">a </w:t>
      </w:r>
      <w:r w:rsidR="0035446E" w:rsidRPr="000B39F3">
        <w:t xml:space="preserve">database </w:t>
      </w:r>
      <w:r w:rsidRPr="000B39F3">
        <w:t>and of</w:t>
      </w:r>
      <w:r w:rsidR="00AD1382" w:rsidRPr="000B39F3">
        <w:t xml:space="preserve"> copyright appear not</w:t>
      </w:r>
      <w:r w:rsidR="00EE3765" w:rsidRPr="000B39F3">
        <w:t xml:space="preserve"> </w:t>
      </w:r>
      <w:r w:rsidRPr="000B39F3">
        <w:t>relevant</w:t>
      </w:r>
      <w:r w:rsidR="0035446E" w:rsidRPr="000B39F3">
        <w:t>.</w:t>
      </w:r>
      <w:r w:rsidRPr="000B39F3">
        <w:t xml:space="preserve"> On the contrary gr</w:t>
      </w:r>
      <w:r w:rsidR="00AD1382" w:rsidRPr="000B39F3">
        <w:t>e</w:t>
      </w:r>
      <w:r w:rsidRPr="000B39F3">
        <w:t>ater proximity can be detected among approache</w:t>
      </w:r>
      <w:r w:rsidR="007F416A" w:rsidRPr="000B39F3">
        <w:t>s and outcome of the cases (pro-</w:t>
      </w:r>
      <w:proofErr w:type="spellStart"/>
      <w:r w:rsidRPr="000B39F3">
        <w:t>rightholders</w:t>
      </w:r>
      <w:proofErr w:type="spellEnd"/>
      <w:r w:rsidRPr="000B39F3">
        <w:t xml:space="preserve">) in database cases and in copyright cases stemming from the </w:t>
      </w:r>
      <w:proofErr w:type="spellStart"/>
      <w:r w:rsidRPr="000B39F3">
        <w:t>InfoSoc</w:t>
      </w:r>
      <w:proofErr w:type="spellEnd"/>
      <w:r w:rsidRPr="000B39F3">
        <w:t xml:space="preserve"> directive, although the database directive does not require a </w:t>
      </w:r>
      <w:r w:rsidR="00336396" w:rsidRPr="000B39F3">
        <w:t>‘</w:t>
      </w:r>
      <w:r w:rsidRPr="000B39F3">
        <w:t>high protection</w:t>
      </w:r>
      <w:r w:rsidR="00336396" w:rsidRPr="000B39F3">
        <w:t>’</w:t>
      </w:r>
      <w:r w:rsidRPr="000B39F3">
        <w:t xml:space="preserve"> for the owner.</w:t>
      </w:r>
    </w:p>
    <w:p w14:paraId="3DBDEC83" w14:textId="77777777" w:rsidR="00EE3765" w:rsidRPr="000B39F3" w:rsidRDefault="00EE3765" w:rsidP="00C67199">
      <w:pPr>
        <w:jc w:val="both"/>
      </w:pPr>
    </w:p>
    <w:p w14:paraId="5BFCAB14" w14:textId="77777777" w:rsidR="00415137" w:rsidRPr="000B39F3" w:rsidRDefault="00415137" w:rsidP="001E1BFF">
      <w:pPr>
        <w:jc w:val="both"/>
        <w:outlineLvl w:val="0"/>
        <w:rPr>
          <w:i/>
        </w:rPr>
      </w:pPr>
      <w:r w:rsidRPr="000B39F3">
        <w:rPr>
          <w:i/>
        </w:rPr>
        <w:lastRenderedPageBreak/>
        <w:t>Underpinnings of the legal approaches a</w:t>
      </w:r>
      <w:r w:rsidR="002F4D77" w:rsidRPr="000B39F3">
        <w:rPr>
          <w:i/>
        </w:rPr>
        <w:t>n</w:t>
      </w:r>
      <w:r w:rsidRPr="000B39F3">
        <w:rPr>
          <w:i/>
        </w:rPr>
        <w:t>d impact on the decision</w:t>
      </w:r>
    </w:p>
    <w:p w14:paraId="073C127C" w14:textId="3A27278B" w:rsidR="000D70E1" w:rsidRPr="000B39F3" w:rsidRDefault="00415137" w:rsidP="00C67199">
      <w:pPr>
        <w:jc w:val="both"/>
      </w:pPr>
      <w:r w:rsidRPr="000B39F3">
        <w:t>A breakdown of the teleological and systematic explanatory variable</w:t>
      </w:r>
      <w:r w:rsidR="00A00AB4" w:rsidRPr="000B39F3">
        <w:t>s</w:t>
      </w:r>
      <w:r w:rsidRPr="000B39F3">
        <w:t xml:space="preserve"> in sub-variables expressing the argument</w:t>
      </w:r>
      <w:r w:rsidR="00A00AB4" w:rsidRPr="000B39F3">
        <w:t>s</w:t>
      </w:r>
      <w:r w:rsidRPr="000B39F3">
        <w:t xml:space="preserve"> that the Court uses to underpin its approaches also produced interesting findings. </w:t>
      </w:r>
      <w:r w:rsidR="0048586E" w:rsidRPr="000B39F3">
        <w:t xml:space="preserve">In our sample of </w:t>
      </w:r>
      <w:r w:rsidR="00F05B44" w:rsidRPr="000B39F3">
        <w:t>forty</w:t>
      </w:r>
      <w:r w:rsidR="000D70E1" w:rsidRPr="000B39F3">
        <w:t xml:space="preserve"> copyr</w:t>
      </w:r>
      <w:r w:rsidR="0048586E" w:rsidRPr="000B39F3">
        <w:t>ight cases,</w:t>
      </w:r>
      <w:r w:rsidR="00EE3765" w:rsidRPr="000B39F3">
        <w:t xml:space="preserve"> </w:t>
      </w:r>
      <w:r w:rsidR="00F05B44" w:rsidRPr="000B39F3">
        <w:t>twenty-two</w:t>
      </w:r>
      <w:r w:rsidR="0048586E" w:rsidRPr="000B39F3">
        <w:t xml:space="preserve"> decisions were </w:t>
      </w:r>
      <w:r w:rsidR="00B263F3" w:rsidRPr="000B39F3">
        <w:t xml:space="preserve">perceived to be </w:t>
      </w:r>
      <w:r w:rsidR="0048586E" w:rsidRPr="000B39F3">
        <w:t xml:space="preserve">favouring </w:t>
      </w:r>
      <w:r w:rsidR="00582368" w:rsidRPr="000B39F3">
        <w:t xml:space="preserve">right holders and </w:t>
      </w:r>
      <w:r w:rsidR="00F05B44" w:rsidRPr="000B39F3">
        <w:t>eighteen</w:t>
      </w:r>
      <w:r w:rsidR="00582368" w:rsidRPr="000B39F3">
        <w:t xml:space="preserve"> decisions were not.</w:t>
      </w:r>
    </w:p>
    <w:p w14:paraId="269DC7F6" w14:textId="77777777" w:rsidR="00C33DCA" w:rsidRPr="000B39F3" w:rsidRDefault="00C33DCA" w:rsidP="00C67199">
      <w:pPr>
        <w:jc w:val="both"/>
      </w:pPr>
      <w:r w:rsidRPr="000B39F3">
        <w:t xml:space="preserve">Arguments justifying a teleological interpretation of the </w:t>
      </w:r>
      <w:r w:rsidR="00A00AB4" w:rsidRPr="000B39F3">
        <w:t>law</w:t>
      </w:r>
      <w:r w:rsidRPr="000B39F3">
        <w:t xml:space="preserve">, when the outcome of the case did not favour the copyright holder, involve </w:t>
      </w:r>
      <w:r w:rsidR="00B263F3" w:rsidRPr="000B39F3">
        <w:t>often</w:t>
      </w:r>
      <w:r w:rsidRPr="000B39F3">
        <w:t xml:space="preserve"> promoting a fair balance of rights between copyright holders and users (or third parties). Other arguments used in cases </w:t>
      </w:r>
      <w:r w:rsidR="00A00AB4" w:rsidRPr="000B39F3">
        <w:t xml:space="preserve">ruled against the </w:t>
      </w:r>
      <w:proofErr w:type="spellStart"/>
      <w:r w:rsidR="00A00AB4" w:rsidRPr="000B39F3">
        <w:t>rightholder</w:t>
      </w:r>
      <w:proofErr w:type="spellEnd"/>
      <w:r w:rsidR="00A00AB4" w:rsidRPr="000B39F3">
        <w:t xml:space="preserve"> </w:t>
      </w:r>
      <w:r w:rsidRPr="000B39F3">
        <w:t xml:space="preserve">are, to </w:t>
      </w:r>
      <w:r w:rsidR="00A00AB4" w:rsidRPr="000B39F3">
        <w:t>a less</w:t>
      </w:r>
      <w:r w:rsidR="009F0E07" w:rsidRPr="000B39F3">
        <w:t>er</w:t>
      </w:r>
      <w:r w:rsidR="000270A3" w:rsidRPr="000B39F3">
        <w:t xml:space="preserve"> extent:</w:t>
      </w:r>
      <w:r w:rsidRPr="000B39F3">
        <w:t xml:space="preserve"> free competition or free movements </w:t>
      </w:r>
      <w:r w:rsidR="000270A3" w:rsidRPr="000B39F3">
        <w:t>of goods in the Internal Market;</w:t>
      </w:r>
      <w:r w:rsidRPr="000B39F3">
        <w:t xml:space="preserve"> fost</w:t>
      </w:r>
      <w:r w:rsidR="000270A3" w:rsidRPr="000B39F3">
        <w:t>ering technological development;</w:t>
      </w:r>
      <w:r w:rsidRPr="000B39F3">
        <w:t xml:space="preserve"> harmoni</w:t>
      </w:r>
      <w:r w:rsidR="00975314" w:rsidRPr="000B39F3">
        <w:t>s</w:t>
      </w:r>
      <w:r w:rsidRPr="000B39F3">
        <w:t xml:space="preserve">ation of European law (often only </w:t>
      </w:r>
      <w:r w:rsidR="00336396" w:rsidRPr="000B39F3">
        <w:t>‘</w:t>
      </w:r>
      <w:r w:rsidRPr="000B39F3">
        <w:t>minimal harmoni</w:t>
      </w:r>
      <w:r w:rsidR="00975314" w:rsidRPr="000B39F3">
        <w:t>s</w:t>
      </w:r>
      <w:r w:rsidRPr="000B39F3">
        <w:t>ation</w:t>
      </w:r>
      <w:r w:rsidR="00336396" w:rsidRPr="000B39F3">
        <w:t>’</w:t>
      </w:r>
      <w:r w:rsidRPr="000B39F3">
        <w:t>, which is a cou</w:t>
      </w:r>
      <w:r w:rsidR="000270A3" w:rsidRPr="000B39F3">
        <w:t>nterargument for harmoni</w:t>
      </w:r>
      <w:r w:rsidR="00975314" w:rsidRPr="000B39F3">
        <w:t>s</w:t>
      </w:r>
      <w:r w:rsidR="000270A3" w:rsidRPr="000B39F3">
        <w:t>ation);</w:t>
      </w:r>
      <w:r w:rsidRPr="000B39F3">
        <w:t xml:space="preserve"> and </w:t>
      </w:r>
      <w:r w:rsidR="00336396" w:rsidRPr="000B39F3">
        <w:t>‘</w:t>
      </w:r>
      <w:r w:rsidRPr="000B39F3">
        <w:t>adequate</w:t>
      </w:r>
      <w:r w:rsidR="00336396" w:rsidRPr="000B39F3">
        <w:t>’</w:t>
      </w:r>
      <w:r w:rsidRPr="000B39F3">
        <w:t xml:space="preserve"> prot</w:t>
      </w:r>
      <w:r w:rsidR="00C814E9" w:rsidRPr="000B39F3">
        <w:t xml:space="preserve">ection for the </w:t>
      </w:r>
      <w:proofErr w:type="spellStart"/>
      <w:r w:rsidR="00C814E9" w:rsidRPr="000B39F3">
        <w:t>rightholder</w:t>
      </w:r>
      <w:proofErr w:type="spellEnd"/>
      <w:r w:rsidR="00C814E9" w:rsidRPr="000B39F3">
        <w:t>. O</w:t>
      </w:r>
      <w:r w:rsidRPr="000B39F3">
        <w:t>vercoming legal uncertainty in the Internal Market and promoting the circulation and development of culture were also mentioned.</w:t>
      </w:r>
    </w:p>
    <w:p w14:paraId="0E0CE297" w14:textId="0B24E40E" w:rsidR="001E1BFF" w:rsidRPr="000B39F3" w:rsidRDefault="00C814E9" w:rsidP="00BB3F10">
      <w:pPr>
        <w:jc w:val="both"/>
      </w:pPr>
      <w:r w:rsidRPr="000B39F3">
        <w:t>A</w:t>
      </w:r>
      <w:r w:rsidR="00415137" w:rsidRPr="000B39F3">
        <w:t xml:space="preserve"> teleological interpretation of the</w:t>
      </w:r>
      <w:r w:rsidR="00EE3765" w:rsidRPr="000B39F3">
        <w:t xml:space="preserve"> </w:t>
      </w:r>
      <w:proofErr w:type="spellStart"/>
      <w:r w:rsidR="00A00AB4" w:rsidRPr="000B39F3">
        <w:t>Infosoc</w:t>
      </w:r>
      <w:proofErr w:type="spellEnd"/>
      <w:r w:rsidR="00415137" w:rsidRPr="000B39F3">
        <w:t xml:space="preserve"> Directive based o</w:t>
      </w:r>
      <w:r w:rsidR="00E778F2" w:rsidRPr="000B39F3">
        <w:t xml:space="preserve">n a high protection for copyright </w:t>
      </w:r>
      <w:r w:rsidR="00415137" w:rsidRPr="000B39F3">
        <w:t>holder</w:t>
      </w:r>
      <w:r w:rsidR="00E778F2" w:rsidRPr="000B39F3">
        <w:t>s</w:t>
      </w:r>
      <w:r w:rsidR="00415137" w:rsidRPr="000B39F3">
        <w:t xml:space="preserve"> was found in more than one third of cases where the outcome</w:t>
      </w:r>
      <w:r w:rsidR="00E778F2" w:rsidRPr="000B39F3">
        <w:t xml:space="preserve"> favoured the owner</w:t>
      </w:r>
      <w:r w:rsidR="00415137" w:rsidRPr="000B39F3">
        <w:t xml:space="preserve">. </w:t>
      </w:r>
      <w:r w:rsidR="00C33DCA" w:rsidRPr="000B39F3">
        <w:t>The harmoni</w:t>
      </w:r>
      <w:r w:rsidR="00975314" w:rsidRPr="000B39F3">
        <w:t>s</w:t>
      </w:r>
      <w:r w:rsidR="00C33DCA" w:rsidRPr="000B39F3">
        <w:t xml:space="preserve">ation of European law </w:t>
      </w:r>
      <w:r w:rsidR="00A00AB4" w:rsidRPr="000B39F3">
        <w:t xml:space="preserve">was </w:t>
      </w:r>
      <w:r w:rsidR="00C33DCA" w:rsidRPr="000B39F3">
        <w:t xml:space="preserve">also </w:t>
      </w:r>
      <w:r w:rsidR="00A00AB4" w:rsidRPr="000B39F3">
        <w:t>called into action to rule</w:t>
      </w:r>
      <w:r w:rsidR="00C33DCA" w:rsidRPr="000B39F3">
        <w:t xml:space="preserve"> in </w:t>
      </w:r>
      <w:r w:rsidR="00A00AB4" w:rsidRPr="000B39F3">
        <w:t>favour of</w:t>
      </w:r>
      <w:r w:rsidR="00C33DCA" w:rsidRPr="000B39F3">
        <w:t xml:space="preserve"> the </w:t>
      </w:r>
      <w:proofErr w:type="spellStart"/>
      <w:r w:rsidR="00C33DCA" w:rsidRPr="000B39F3">
        <w:t>rightholder</w:t>
      </w:r>
      <w:proofErr w:type="spellEnd"/>
      <w:r w:rsidR="00D009EC" w:rsidRPr="000B39F3">
        <w:t xml:space="preserve">, whereas the </w:t>
      </w:r>
      <w:proofErr w:type="gramStart"/>
      <w:r w:rsidR="00D009EC" w:rsidRPr="000B39F3">
        <w:t>above mentioned</w:t>
      </w:r>
      <w:proofErr w:type="gramEnd"/>
      <w:r w:rsidR="00D009EC" w:rsidRPr="000B39F3">
        <w:t xml:space="preserve"> arguments (competition, </w:t>
      </w:r>
      <w:r w:rsidR="00A00AB4" w:rsidRPr="000B39F3">
        <w:t>fair balance of rights, overcoming</w:t>
      </w:r>
      <w:r w:rsidR="00D009EC" w:rsidRPr="000B39F3">
        <w:t xml:space="preserve"> legal uncertainty</w:t>
      </w:r>
      <w:r w:rsidR="00A00AB4" w:rsidRPr="000B39F3">
        <w:t>,</w:t>
      </w:r>
      <w:r w:rsidR="00D009EC" w:rsidRPr="000B39F3">
        <w:t xml:space="preserve"> and fostering technological development) were </w:t>
      </w:r>
      <w:r w:rsidR="00A00AB4" w:rsidRPr="000B39F3">
        <w:t>a minority</w:t>
      </w:r>
      <w:r w:rsidR="00C33DCA" w:rsidRPr="000B39F3">
        <w:t xml:space="preserve">. </w:t>
      </w:r>
    </w:p>
    <w:p w14:paraId="1F5D7381" w14:textId="77777777" w:rsidR="00BB3F10" w:rsidRPr="000B39F3" w:rsidRDefault="00BB3F10" w:rsidP="005C59B1">
      <w:pPr>
        <w:keepNext/>
        <w:jc w:val="center"/>
      </w:pPr>
    </w:p>
    <w:p w14:paraId="5F24DBA0" w14:textId="77777777" w:rsidR="002C626F" w:rsidRPr="000B39F3" w:rsidRDefault="002C626F" w:rsidP="00BB3F10">
      <w:pPr>
        <w:pStyle w:val="Caption"/>
        <w:jc w:val="both"/>
      </w:pPr>
    </w:p>
    <w:p w14:paraId="240A7912" w14:textId="77777777" w:rsidR="002C626F" w:rsidRPr="000B39F3" w:rsidRDefault="00922FA7" w:rsidP="0042413C">
      <w:pPr>
        <w:pStyle w:val="Caption"/>
        <w:jc w:val="center"/>
      </w:pPr>
      <w:r w:rsidRPr="000B39F3">
        <w:rPr>
          <w:noProof/>
          <w:lang w:val="en-US" w:eastAsia="en-US"/>
        </w:rPr>
        <w:drawing>
          <wp:inline distT="0" distB="0" distL="0" distR="0" wp14:anchorId="70936BA2" wp14:editId="3D9076BC">
            <wp:extent cx="6120765" cy="2949340"/>
            <wp:effectExtent l="25400" t="25400" r="26035" b="2286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949340"/>
                    </a:xfrm>
                    <a:prstGeom prst="rect">
                      <a:avLst/>
                    </a:prstGeom>
                    <a:noFill/>
                    <a:ln>
                      <a:solidFill>
                        <a:schemeClr val="tx1"/>
                      </a:solidFill>
                    </a:ln>
                  </pic:spPr>
                </pic:pic>
              </a:graphicData>
            </a:graphic>
          </wp:inline>
        </w:drawing>
      </w:r>
    </w:p>
    <w:p w14:paraId="40D36940" w14:textId="77777777" w:rsidR="002C626F" w:rsidRPr="000B39F3" w:rsidRDefault="002C626F" w:rsidP="00BB3F10">
      <w:pPr>
        <w:pStyle w:val="Caption"/>
        <w:jc w:val="both"/>
      </w:pPr>
    </w:p>
    <w:p w14:paraId="0979A18F" w14:textId="6B7CB19F" w:rsidR="001E1BFF" w:rsidRPr="000B39F3" w:rsidRDefault="006B02B0" w:rsidP="002C626F">
      <w:pPr>
        <w:pStyle w:val="Caption"/>
        <w:jc w:val="center"/>
      </w:pPr>
      <w:r w:rsidRPr="000B39F3">
        <w:t>Figure</w:t>
      </w:r>
      <w:r w:rsidR="00256C2B">
        <w:t xml:space="preserve"> </w:t>
      </w:r>
      <w:r w:rsidR="00096DAD">
        <w:t>8</w:t>
      </w:r>
      <w:r w:rsidR="00BB3F10" w:rsidRPr="000B39F3">
        <w:t xml:space="preserve"> – </w:t>
      </w:r>
      <w:r w:rsidR="00EA5AF5" w:rsidRPr="000B39F3">
        <w:t>Teleological a</w:t>
      </w:r>
      <w:r w:rsidR="00BB3F10" w:rsidRPr="000B39F3">
        <w:t>rguments used by the Court when the outcome of t</w:t>
      </w:r>
      <w:r w:rsidR="0092466F" w:rsidRPr="000B39F3">
        <w:t>he case</w:t>
      </w:r>
      <w:r w:rsidR="005768DB" w:rsidRPr="000B39F3">
        <w:t xml:space="preserve"> </w:t>
      </w:r>
      <w:r w:rsidR="00D53934" w:rsidRPr="000B39F3">
        <w:t>favours</w:t>
      </w:r>
      <w:r w:rsidR="005768DB" w:rsidRPr="000B39F3">
        <w:t xml:space="preserve"> </w:t>
      </w:r>
      <w:r w:rsidR="00D53934" w:rsidRPr="000B39F3">
        <w:t xml:space="preserve">or disfavours </w:t>
      </w:r>
      <w:r w:rsidR="0042413C" w:rsidRPr="000B39F3">
        <w:t xml:space="preserve">Copyright </w:t>
      </w:r>
      <w:r w:rsidR="005768DB" w:rsidRPr="000B39F3">
        <w:t>owner</w:t>
      </w:r>
    </w:p>
    <w:p w14:paraId="1A378E3E" w14:textId="77777777" w:rsidR="00BB3F10" w:rsidRPr="000B39F3" w:rsidRDefault="00BB3F10" w:rsidP="005C59B1">
      <w:pPr>
        <w:pStyle w:val="Caption"/>
        <w:keepNext/>
        <w:jc w:val="center"/>
      </w:pPr>
    </w:p>
    <w:p w14:paraId="6058A934" w14:textId="59337746" w:rsidR="008E71F3" w:rsidRPr="000B39F3" w:rsidRDefault="008E71F3" w:rsidP="00C67199">
      <w:pPr>
        <w:jc w:val="both"/>
      </w:pPr>
      <w:r w:rsidRPr="000B39F3">
        <w:t>These</w:t>
      </w:r>
      <w:r w:rsidR="009D6180" w:rsidRPr="000B39F3">
        <w:t xml:space="preserve"> arguments</w:t>
      </w:r>
      <w:r w:rsidRPr="000B39F3">
        <w:t>,</w:t>
      </w:r>
      <w:r w:rsidR="00EE3765" w:rsidRPr="000B39F3">
        <w:t xml:space="preserve"> </w:t>
      </w:r>
      <w:r w:rsidRPr="000B39F3">
        <w:t>often literally drawn from the recitals</w:t>
      </w:r>
      <w:r w:rsidR="00EE3765" w:rsidRPr="000B39F3">
        <w:t xml:space="preserve"> </w:t>
      </w:r>
      <w:r w:rsidRPr="000B39F3">
        <w:t xml:space="preserve">of the </w:t>
      </w:r>
      <w:r w:rsidR="00A00AB4" w:rsidRPr="000B39F3">
        <w:t xml:space="preserve">interpreted </w:t>
      </w:r>
      <w:r w:rsidRPr="000B39F3">
        <w:t>directives (</w:t>
      </w:r>
      <w:r w:rsidR="00336396" w:rsidRPr="000B39F3">
        <w:t>‘</w:t>
      </w:r>
      <w:r w:rsidRPr="000B39F3">
        <w:t>high protection</w:t>
      </w:r>
      <w:r w:rsidR="00336396" w:rsidRPr="000B39F3">
        <w:t>’</w:t>
      </w:r>
      <w:r w:rsidRPr="000B39F3">
        <w:t xml:space="preserve"> from the 2001/29/EC </w:t>
      </w:r>
      <w:r w:rsidR="00C814E9" w:rsidRPr="000B39F3">
        <w:t>(</w:t>
      </w:r>
      <w:proofErr w:type="spellStart"/>
      <w:r w:rsidR="00C814E9" w:rsidRPr="000B39F3">
        <w:t>InfoSoc</w:t>
      </w:r>
      <w:proofErr w:type="spellEnd"/>
      <w:r w:rsidR="00C814E9" w:rsidRPr="000B39F3">
        <w:t xml:space="preserve">) </w:t>
      </w:r>
      <w:r w:rsidRPr="000B39F3">
        <w:t xml:space="preserve">directive, </w:t>
      </w:r>
      <w:r w:rsidR="00336396" w:rsidRPr="000B39F3">
        <w:t>‘</w:t>
      </w:r>
      <w:r w:rsidRPr="000B39F3">
        <w:t>fair balance</w:t>
      </w:r>
      <w:r w:rsidR="00336396" w:rsidRPr="000B39F3">
        <w:t>’</w:t>
      </w:r>
      <w:r w:rsidR="00B263F3" w:rsidRPr="000B39F3">
        <w:t xml:space="preserve"> from 2001/29/EC (</w:t>
      </w:r>
      <w:proofErr w:type="spellStart"/>
      <w:r w:rsidR="00B263F3" w:rsidRPr="000B39F3">
        <w:t>InfoSoc</w:t>
      </w:r>
      <w:proofErr w:type="spellEnd"/>
      <w:r w:rsidR="00B263F3" w:rsidRPr="000B39F3">
        <w:t>) directive and</w:t>
      </w:r>
      <w:r w:rsidRPr="000B39F3">
        <w:t xml:space="preserve"> 93/83/E</w:t>
      </w:r>
      <w:r w:rsidR="00C814E9" w:rsidRPr="000B39F3">
        <w:t>E</w:t>
      </w:r>
      <w:r w:rsidRPr="000B39F3">
        <w:t>C</w:t>
      </w:r>
      <w:r w:rsidR="00C814E9" w:rsidRPr="000B39F3">
        <w:t xml:space="preserve"> (Satellite and Cable)</w:t>
      </w:r>
      <w:r w:rsidRPr="000B39F3">
        <w:t xml:space="preserve"> directive, </w:t>
      </w:r>
      <w:r w:rsidR="00336396" w:rsidRPr="000B39F3">
        <w:t>‘</w:t>
      </w:r>
      <w:r w:rsidRPr="000B39F3">
        <w:t>minimal harmonization</w:t>
      </w:r>
      <w:r w:rsidR="00336396" w:rsidRPr="000B39F3">
        <w:t>’</w:t>
      </w:r>
      <w:r w:rsidRPr="000B39F3">
        <w:t xml:space="preserve"> from the 92/100/E</w:t>
      </w:r>
      <w:r w:rsidR="00C814E9" w:rsidRPr="000B39F3">
        <w:t>E</w:t>
      </w:r>
      <w:r w:rsidRPr="000B39F3">
        <w:t xml:space="preserve">C </w:t>
      </w:r>
      <w:r w:rsidR="00C814E9" w:rsidRPr="000B39F3">
        <w:t xml:space="preserve">(Rental) </w:t>
      </w:r>
      <w:r w:rsidRPr="000B39F3">
        <w:t xml:space="preserve">directive, etc.) </w:t>
      </w:r>
      <w:r w:rsidR="0040342A" w:rsidRPr="000B39F3">
        <w:t xml:space="preserve">may be </w:t>
      </w:r>
      <w:r w:rsidR="00D009EC" w:rsidRPr="000B39F3">
        <w:t>merely rhetorical</w:t>
      </w:r>
      <w:r w:rsidRPr="000B39F3">
        <w:t xml:space="preserve">. In fact, </w:t>
      </w:r>
      <w:r w:rsidR="00DA1E8D" w:rsidRPr="000B39F3">
        <w:t>they</w:t>
      </w:r>
      <w:r w:rsidRPr="000B39F3">
        <w:t xml:space="preserve"> are </w:t>
      </w:r>
      <w:r w:rsidR="00A00AB4" w:rsidRPr="000B39F3">
        <w:t>put forward</w:t>
      </w:r>
      <w:r w:rsidR="00EE3765" w:rsidRPr="000B39F3">
        <w:t xml:space="preserve"> </w:t>
      </w:r>
      <w:r w:rsidR="00A00AB4" w:rsidRPr="000B39F3">
        <w:t xml:space="preserve">to underpin a </w:t>
      </w:r>
      <w:r w:rsidRPr="000B39F3">
        <w:t xml:space="preserve">teleological interpretation both in cases favourable and unfavourable to copyright owners. However, the </w:t>
      </w:r>
      <w:r w:rsidR="000270A3" w:rsidRPr="000B39F3">
        <w:t>findings show</w:t>
      </w:r>
      <w:r w:rsidRPr="000B39F3">
        <w:t xml:space="preserve"> a clear distinction between arguments </w:t>
      </w:r>
      <w:r w:rsidR="00336396" w:rsidRPr="000B39F3">
        <w:t>‘</w:t>
      </w:r>
      <w:r w:rsidR="009850BB" w:rsidRPr="000B39F3">
        <w:t>pro-</w:t>
      </w:r>
      <w:proofErr w:type="spellStart"/>
      <w:r w:rsidRPr="000B39F3">
        <w:t>rightholder</w:t>
      </w:r>
      <w:proofErr w:type="spellEnd"/>
      <w:r w:rsidR="00336396" w:rsidRPr="000B39F3">
        <w:t>’</w:t>
      </w:r>
      <w:r w:rsidRPr="000B39F3">
        <w:t xml:space="preserve"> and arguments </w:t>
      </w:r>
      <w:r w:rsidR="00336396" w:rsidRPr="000B39F3">
        <w:t>‘</w:t>
      </w:r>
      <w:r w:rsidR="009850BB" w:rsidRPr="000B39F3">
        <w:t>pro-</w:t>
      </w:r>
      <w:r w:rsidRPr="000B39F3">
        <w:t>user</w:t>
      </w:r>
      <w:r w:rsidR="00336396" w:rsidRPr="000B39F3">
        <w:t>’</w:t>
      </w:r>
      <w:r w:rsidRPr="000B39F3">
        <w:t xml:space="preserve">, the </w:t>
      </w:r>
      <w:r w:rsidR="00B356EF" w:rsidRPr="000B39F3">
        <w:t>presence of which in the legal discourse of</w:t>
      </w:r>
      <w:r w:rsidRPr="000B39F3">
        <w:t xml:space="preserve"> t</w:t>
      </w:r>
      <w:r w:rsidR="00A00AB4" w:rsidRPr="000B39F3">
        <w:t xml:space="preserve">he </w:t>
      </w:r>
      <w:proofErr w:type="spellStart"/>
      <w:r w:rsidR="00A00AB4" w:rsidRPr="000B39F3">
        <w:t>Court</w:t>
      </w:r>
      <w:r w:rsidR="00B31C35" w:rsidRPr="000B39F3">
        <w:t>may</w:t>
      </w:r>
      <w:proofErr w:type="spellEnd"/>
      <w:r w:rsidR="00B31C35" w:rsidRPr="000B39F3">
        <w:t xml:space="preserve"> provide</w:t>
      </w:r>
      <w:r w:rsidR="00B356EF" w:rsidRPr="000B39F3">
        <w:t xml:space="preserve"> indications</w:t>
      </w:r>
      <w:r w:rsidR="00B31C35" w:rsidRPr="000B39F3">
        <w:t xml:space="preserve"> of</w:t>
      </w:r>
      <w:r w:rsidRPr="000B39F3">
        <w:t xml:space="preserve"> the final outcome of the case.</w:t>
      </w:r>
    </w:p>
    <w:p w14:paraId="44601113" w14:textId="01B50608" w:rsidR="00106B58" w:rsidRPr="000B39F3" w:rsidRDefault="0092466F" w:rsidP="00C67199">
      <w:pPr>
        <w:jc w:val="both"/>
      </w:pPr>
      <w:r w:rsidRPr="000B39F3">
        <w:lastRenderedPageBreak/>
        <w:t>The comparison betwe</w:t>
      </w:r>
      <w:r w:rsidR="00D53934" w:rsidRPr="000B39F3">
        <w:t>en the rulings of the Court where</w:t>
      </w:r>
      <w:r w:rsidRPr="000B39F3">
        <w:t xml:space="preserve"> Judge </w:t>
      </w:r>
      <w:proofErr w:type="spellStart"/>
      <w:r w:rsidR="009850BB" w:rsidRPr="000B39F3">
        <w:rPr>
          <w:rFonts w:hAnsi="Arial"/>
        </w:rPr>
        <w:t>Malenovsk</w:t>
      </w:r>
      <w:r w:rsidR="009850BB" w:rsidRPr="000B39F3">
        <w:rPr>
          <w:rFonts w:hAnsi="Arial"/>
        </w:rPr>
        <w:t>ý</w:t>
      </w:r>
      <w:proofErr w:type="spellEnd"/>
      <w:r w:rsidR="00EE3765" w:rsidRPr="000B39F3">
        <w:rPr>
          <w:rFonts w:hAnsi="Arial"/>
        </w:rPr>
        <w:t xml:space="preserve"> </w:t>
      </w:r>
      <w:r w:rsidR="00D53934" w:rsidRPr="000B39F3">
        <w:t>is the Reporting Judge and the rulings where</w:t>
      </w:r>
      <w:r w:rsidRPr="000B39F3">
        <w:t xml:space="preserve"> the Reporting Ju</w:t>
      </w:r>
      <w:r w:rsidR="00D53934" w:rsidRPr="000B39F3">
        <w:t>dge is another Court Member</w:t>
      </w:r>
      <w:r w:rsidRPr="000B39F3">
        <w:t xml:space="preserve"> offer</w:t>
      </w:r>
      <w:r w:rsidR="00D53934" w:rsidRPr="000B39F3">
        <w:t>s</w:t>
      </w:r>
      <w:r w:rsidRPr="000B39F3">
        <w:t xml:space="preserve"> some </w:t>
      </w:r>
      <w:r w:rsidR="00D53934" w:rsidRPr="000B39F3">
        <w:t>interesting insights</w:t>
      </w:r>
      <w:r w:rsidRPr="000B39F3">
        <w:t xml:space="preserve">. The </w:t>
      </w:r>
      <w:r w:rsidR="00B022E4" w:rsidRPr="000B39F3">
        <w:t xml:space="preserve">large number </w:t>
      </w:r>
      <w:r w:rsidR="00A11A78">
        <w:t>of copyright cases reported by J</w:t>
      </w:r>
      <w:r w:rsidR="00B022E4" w:rsidRPr="000B39F3">
        <w:t xml:space="preserve">udge </w:t>
      </w:r>
      <w:proofErr w:type="spellStart"/>
      <w:r w:rsidR="009850BB" w:rsidRPr="000B39F3">
        <w:rPr>
          <w:rFonts w:hAnsi="Arial"/>
        </w:rPr>
        <w:t>Malenovsk</w:t>
      </w:r>
      <w:r w:rsidR="009850BB" w:rsidRPr="000B39F3">
        <w:rPr>
          <w:rFonts w:hAnsi="Arial"/>
        </w:rPr>
        <w:t>ý</w:t>
      </w:r>
      <w:proofErr w:type="spellEnd"/>
      <w:r w:rsidR="00EE3765" w:rsidRPr="000B39F3">
        <w:rPr>
          <w:rFonts w:hAnsi="Arial"/>
        </w:rPr>
        <w:t xml:space="preserve"> </w:t>
      </w:r>
      <w:r w:rsidR="00B022E4" w:rsidRPr="000B39F3">
        <w:t>suggests the ac</w:t>
      </w:r>
      <w:r w:rsidR="009850BB" w:rsidRPr="000B39F3">
        <w:t>quisition of</w:t>
      </w:r>
      <w:r w:rsidR="00EE3765" w:rsidRPr="000B39F3">
        <w:t xml:space="preserve"> </w:t>
      </w:r>
      <w:r w:rsidRPr="000B39F3">
        <w:t xml:space="preserve">subject-specific experience </w:t>
      </w:r>
      <w:r w:rsidR="00B022E4" w:rsidRPr="000B39F3">
        <w:t xml:space="preserve">in these matters. The content analysis </w:t>
      </w:r>
      <w:r w:rsidR="009850BB" w:rsidRPr="000B39F3">
        <w:t xml:space="preserve">of </w:t>
      </w:r>
      <w:proofErr w:type="spellStart"/>
      <w:r w:rsidR="009850BB" w:rsidRPr="000B39F3">
        <w:rPr>
          <w:rFonts w:hAnsi="Arial"/>
        </w:rPr>
        <w:t>Malenovsk</w:t>
      </w:r>
      <w:r w:rsidR="009850BB" w:rsidRPr="000B39F3">
        <w:rPr>
          <w:rFonts w:hAnsi="Arial"/>
        </w:rPr>
        <w:t>ý</w:t>
      </w:r>
      <w:proofErr w:type="spellEnd"/>
      <w:r w:rsidR="009850BB" w:rsidRPr="000B39F3">
        <w:rPr>
          <w:rFonts w:hAnsi="Arial"/>
        </w:rPr>
        <w:t xml:space="preserve"> decisions </w:t>
      </w:r>
      <w:r w:rsidR="00B022E4" w:rsidRPr="000B39F3">
        <w:t>reve</w:t>
      </w:r>
      <w:r w:rsidR="009850BB" w:rsidRPr="000B39F3">
        <w:t>als the use of the t</w:t>
      </w:r>
      <w:r w:rsidR="00B022E4" w:rsidRPr="000B39F3">
        <w:t>eleologic</w:t>
      </w:r>
      <w:r w:rsidR="004965C2" w:rsidRPr="000B39F3">
        <w:t>al</w:t>
      </w:r>
      <w:r w:rsidR="00C91C62" w:rsidRPr="000B39F3">
        <w:t xml:space="preserve"> argument of the ‘</w:t>
      </w:r>
      <w:r w:rsidR="00B022E4" w:rsidRPr="000B39F3">
        <w:t xml:space="preserve">high </w:t>
      </w:r>
      <w:r w:rsidR="0033363B" w:rsidRPr="000B39F3">
        <w:t xml:space="preserve">level of </w:t>
      </w:r>
      <w:r w:rsidR="00B022E4" w:rsidRPr="000B39F3">
        <w:t xml:space="preserve">protection for the </w:t>
      </w:r>
      <w:r w:rsidR="0033363B" w:rsidRPr="000B39F3">
        <w:t>copyright holders</w:t>
      </w:r>
      <w:r w:rsidR="00C91C62" w:rsidRPr="000B39F3">
        <w:t>’</w:t>
      </w:r>
      <w:r w:rsidR="00B022E4" w:rsidRPr="000B39F3">
        <w:t xml:space="preserve"> </w:t>
      </w:r>
      <w:r w:rsidR="00106B58" w:rsidRPr="000B39F3">
        <w:t>required</w:t>
      </w:r>
      <w:r w:rsidR="00B022E4" w:rsidRPr="000B39F3">
        <w:t xml:space="preserve"> by the </w:t>
      </w:r>
      <w:proofErr w:type="spellStart"/>
      <w:r w:rsidR="00B022E4" w:rsidRPr="000B39F3">
        <w:t>InfoSoc</w:t>
      </w:r>
      <w:proofErr w:type="spellEnd"/>
      <w:r w:rsidR="00B022E4" w:rsidRPr="000B39F3">
        <w:t xml:space="preserve"> directive</w:t>
      </w:r>
      <w:r w:rsidR="00106B58" w:rsidRPr="000B39F3">
        <w:t>,</w:t>
      </w:r>
      <w:r w:rsidR="005C11F9" w:rsidRPr="000B39F3">
        <w:t xml:space="preserve"> also in cases (</w:t>
      </w:r>
      <w:r w:rsidR="00F05B44" w:rsidRPr="000B39F3">
        <w:t>six per cent</w:t>
      </w:r>
      <w:r w:rsidR="00B022E4" w:rsidRPr="000B39F3">
        <w:t xml:space="preserve">) whose outcome is not </w:t>
      </w:r>
      <w:r w:rsidR="00106B58" w:rsidRPr="000B39F3">
        <w:t xml:space="preserve">favourable to the rights </w:t>
      </w:r>
      <w:r w:rsidR="004965C2" w:rsidRPr="000B39F3">
        <w:t>holder</w:t>
      </w:r>
      <w:r w:rsidR="00106B58" w:rsidRPr="000B39F3">
        <w:t>;</w:t>
      </w:r>
      <w:r w:rsidR="00D53934" w:rsidRPr="000B39F3">
        <w:t xml:space="preserve"> whereas all the other judges use this</w:t>
      </w:r>
      <w:r w:rsidR="00C91C62" w:rsidRPr="000B39F3">
        <w:t xml:space="preserve"> </w:t>
      </w:r>
      <w:r w:rsidR="00D53934" w:rsidRPr="000B39F3">
        <w:t xml:space="preserve">argument only in cases whose outcome favours the </w:t>
      </w:r>
      <w:r w:rsidR="004965C2" w:rsidRPr="000B39F3">
        <w:t>rights holder</w:t>
      </w:r>
      <w:r w:rsidR="00B022E4" w:rsidRPr="000B39F3">
        <w:t xml:space="preserve">. </w:t>
      </w:r>
    </w:p>
    <w:p w14:paraId="347BCFEF" w14:textId="6AD18FBE" w:rsidR="00DA1E8D" w:rsidRPr="000B39F3" w:rsidRDefault="00B022E4" w:rsidP="00C67199">
      <w:pPr>
        <w:jc w:val="both"/>
      </w:pPr>
      <w:r w:rsidRPr="000B39F3">
        <w:t xml:space="preserve">Also, the argument of the ‘fair balance of rights’, which is used by other judges solely </w:t>
      </w:r>
      <w:r w:rsidR="0033363B" w:rsidRPr="000B39F3">
        <w:t xml:space="preserve">to rule against the copyright holders, is employed </w:t>
      </w:r>
      <w:r w:rsidRPr="000B39F3">
        <w:t xml:space="preserve">by </w:t>
      </w:r>
      <w:proofErr w:type="spellStart"/>
      <w:r w:rsidR="009850BB" w:rsidRPr="000B39F3">
        <w:rPr>
          <w:rFonts w:hAnsi="Arial"/>
        </w:rPr>
        <w:t>Malenovsk</w:t>
      </w:r>
      <w:r w:rsidR="009850BB" w:rsidRPr="000B39F3">
        <w:rPr>
          <w:rFonts w:hAnsi="Arial"/>
        </w:rPr>
        <w:t>ý</w:t>
      </w:r>
      <w:proofErr w:type="spellEnd"/>
      <w:r w:rsidR="00C91C62" w:rsidRPr="000B39F3">
        <w:rPr>
          <w:rFonts w:hAnsi="Arial"/>
        </w:rPr>
        <w:t xml:space="preserve"> </w:t>
      </w:r>
      <w:r w:rsidRPr="000B39F3">
        <w:t xml:space="preserve">both in cases whose </w:t>
      </w:r>
      <w:r w:rsidR="0033363B" w:rsidRPr="000B39F3">
        <w:t>outcome favours and</w:t>
      </w:r>
      <w:r w:rsidRPr="000B39F3">
        <w:t xml:space="preserve"> disfavours the </w:t>
      </w:r>
      <w:r w:rsidR="004965C2" w:rsidRPr="000B39F3">
        <w:t>right holder</w:t>
      </w:r>
      <w:r w:rsidRPr="000B39F3">
        <w:t>.</w:t>
      </w:r>
      <w:r w:rsidR="00C91C62" w:rsidRPr="000B39F3">
        <w:t xml:space="preserve"> </w:t>
      </w:r>
      <w:r w:rsidR="009A3AB2" w:rsidRPr="000B39F3">
        <w:t xml:space="preserve">While the small size of the </w:t>
      </w:r>
      <w:r w:rsidR="009850BB" w:rsidRPr="000B39F3">
        <w:t xml:space="preserve">sample suggests </w:t>
      </w:r>
      <w:r w:rsidR="009A3AB2" w:rsidRPr="000B39F3">
        <w:t xml:space="preserve">caution in interpreting these data, </w:t>
      </w:r>
      <w:proofErr w:type="spellStart"/>
      <w:r w:rsidR="009850BB" w:rsidRPr="000B39F3">
        <w:rPr>
          <w:rFonts w:hAnsi="Arial"/>
        </w:rPr>
        <w:t>Malenovsk</w:t>
      </w:r>
      <w:r w:rsidR="009850BB" w:rsidRPr="000B39F3">
        <w:rPr>
          <w:rFonts w:hAnsi="Arial"/>
        </w:rPr>
        <w:t>ý</w:t>
      </w:r>
      <w:proofErr w:type="spellEnd"/>
      <w:r w:rsidR="009850BB" w:rsidRPr="000B39F3">
        <w:rPr>
          <w:rFonts w:hAnsi="Arial"/>
        </w:rPr>
        <w:t xml:space="preserve"> appears to </w:t>
      </w:r>
      <w:r w:rsidR="006516DA" w:rsidRPr="000B39F3">
        <w:rPr>
          <w:rFonts w:hAnsi="Arial"/>
        </w:rPr>
        <w:t>see the balance between the rights and interests of copyright holders and users of protected subject matter as a more central issue than other judges. He also uses a greater range of copyright specific arguments rather than focussing on harmonization</w:t>
      </w:r>
      <w:r w:rsidR="009A3AB2" w:rsidRPr="000B39F3">
        <w:t>.</w:t>
      </w:r>
    </w:p>
    <w:p w14:paraId="0CE4C8FD" w14:textId="77777777" w:rsidR="006B02B0" w:rsidRPr="000B39F3" w:rsidRDefault="00C828FA" w:rsidP="006B02B0">
      <w:pPr>
        <w:keepNext/>
        <w:jc w:val="both"/>
      </w:pPr>
      <w:r w:rsidRPr="000B39F3">
        <w:rPr>
          <w:noProof/>
          <w:lang w:val="en-US" w:eastAsia="en-US"/>
        </w:rPr>
        <w:drawing>
          <wp:inline distT="0" distB="0" distL="0" distR="0" wp14:anchorId="0BC29CCA" wp14:editId="17C10061">
            <wp:extent cx="6120765" cy="2945640"/>
            <wp:effectExtent l="25400" t="25400" r="26035" b="2667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945640"/>
                    </a:xfrm>
                    <a:prstGeom prst="rect">
                      <a:avLst/>
                    </a:prstGeom>
                    <a:noFill/>
                    <a:ln>
                      <a:solidFill>
                        <a:schemeClr val="tx1"/>
                      </a:solidFill>
                    </a:ln>
                  </pic:spPr>
                </pic:pic>
              </a:graphicData>
            </a:graphic>
          </wp:inline>
        </w:drawing>
      </w:r>
    </w:p>
    <w:p w14:paraId="3FFF3820" w14:textId="6CDB0A8E" w:rsidR="00DA1E8D" w:rsidRPr="000B39F3" w:rsidRDefault="00096DAD" w:rsidP="009850BB">
      <w:pPr>
        <w:pStyle w:val="Caption"/>
        <w:jc w:val="center"/>
      </w:pPr>
      <w:r>
        <w:t>Figure 9</w:t>
      </w:r>
      <w:r w:rsidR="006B02B0" w:rsidRPr="000B39F3">
        <w:t xml:space="preserve"> – The appro</w:t>
      </w:r>
      <w:r w:rsidR="009850BB" w:rsidRPr="000B39F3">
        <w:t xml:space="preserve">ach of Reporting Judge </w:t>
      </w:r>
      <w:proofErr w:type="spellStart"/>
      <w:r w:rsidR="009850BB" w:rsidRPr="000B39F3">
        <w:t>Malenovs</w:t>
      </w:r>
      <w:r w:rsidR="00B624C4" w:rsidRPr="000B39F3">
        <w:t>k</w:t>
      </w:r>
      <w:r w:rsidR="009850BB" w:rsidRPr="000B39F3">
        <w:t>ý</w:t>
      </w:r>
      <w:proofErr w:type="spellEnd"/>
    </w:p>
    <w:p w14:paraId="3D18EF87" w14:textId="77777777" w:rsidR="00B624C4" w:rsidRPr="000B39F3" w:rsidRDefault="00B624C4" w:rsidP="009850BB">
      <w:pPr>
        <w:pStyle w:val="Caption"/>
        <w:jc w:val="center"/>
      </w:pPr>
    </w:p>
    <w:p w14:paraId="00A9E7F6" w14:textId="77777777" w:rsidR="006B02B0" w:rsidRPr="000B39F3" w:rsidRDefault="006B02B0" w:rsidP="006B02B0">
      <w:pPr>
        <w:pStyle w:val="Caption"/>
        <w:jc w:val="both"/>
      </w:pPr>
    </w:p>
    <w:p w14:paraId="11347AA6" w14:textId="77777777" w:rsidR="006B02B0" w:rsidRPr="000B39F3" w:rsidRDefault="00C412BB" w:rsidP="006B02B0">
      <w:pPr>
        <w:keepNext/>
        <w:jc w:val="both"/>
      </w:pPr>
      <w:r w:rsidRPr="000B39F3">
        <w:rPr>
          <w:noProof/>
          <w:lang w:val="en-US" w:eastAsia="en-US"/>
        </w:rPr>
        <w:lastRenderedPageBreak/>
        <w:drawing>
          <wp:inline distT="0" distB="0" distL="0" distR="0" wp14:anchorId="27C33B66" wp14:editId="2646BE92">
            <wp:extent cx="6120765" cy="2949340"/>
            <wp:effectExtent l="25400" t="25400" r="26035" b="228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949340"/>
                    </a:xfrm>
                    <a:prstGeom prst="rect">
                      <a:avLst/>
                    </a:prstGeom>
                    <a:noFill/>
                    <a:ln>
                      <a:solidFill>
                        <a:schemeClr val="tx1"/>
                      </a:solidFill>
                    </a:ln>
                  </pic:spPr>
                </pic:pic>
              </a:graphicData>
            </a:graphic>
          </wp:inline>
        </w:drawing>
      </w:r>
    </w:p>
    <w:p w14:paraId="2551E137" w14:textId="2B3B4DAB" w:rsidR="009850BB" w:rsidRPr="001C7874" w:rsidRDefault="00096DAD" w:rsidP="00397D22">
      <w:pPr>
        <w:jc w:val="center"/>
        <w:rPr>
          <w:rFonts w:ascii="Times New Roman" w:hAnsi="Times New Roman" w:cs="Times New Roman"/>
          <w:i/>
          <w:sz w:val="24"/>
          <w:szCs w:val="24"/>
        </w:rPr>
      </w:pPr>
      <w:r w:rsidRPr="001C7874">
        <w:rPr>
          <w:rFonts w:ascii="Times New Roman" w:hAnsi="Times New Roman" w:cs="Times New Roman"/>
          <w:i/>
          <w:sz w:val="24"/>
          <w:szCs w:val="24"/>
        </w:rPr>
        <w:t>Figure 10</w:t>
      </w:r>
      <w:r w:rsidR="001C7874" w:rsidRPr="001C7874">
        <w:rPr>
          <w:rFonts w:ascii="Times New Roman" w:hAnsi="Times New Roman" w:cs="Times New Roman"/>
          <w:i/>
          <w:sz w:val="24"/>
          <w:szCs w:val="24"/>
        </w:rPr>
        <w:t xml:space="preserve"> – The approach of </w:t>
      </w:r>
      <w:r w:rsidR="001C7874">
        <w:rPr>
          <w:rFonts w:ascii="Times New Roman" w:hAnsi="Times New Roman" w:cs="Times New Roman"/>
          <w:i/>
          <w:sz w:val="24"/>
          <w:szCs w:val="24"/>
        </w:rPr>
        <w:t xml:space="preserve">the other </w:t>
      </w:r>
      <w:r w:rsidR="006B02B0" w:rsidRPr="001C7874">
        <w:rPr>
          <w:rFonts w:ascii="Times New Roman" w:hAnsi="Times New Roman" w:cs="Times New Roman"/>
          <w:i/>
          <w:sz w:val="24"/>
          <w:szCs w:val="24"/>
        </w:rPr>
        <w:t>Reporting Judges</w:t>
      </w:r>
      <w:r w:rsidR="001C7874" w:rsidRPr="001C7874">
        <w:rPr>
          <w:rFonts w:ascii="Times New Roman" w:hAnsi="Times New Roman" w:cs="Times New Roman"/>
          <w:i/>
          <w:sz w:val="24"/>
          <w:szCs w:val="24"/>
        </w:rPr>
        <w:t xml:space="preserve"> </w:t>
      </w:r>
      <w:r w:rsidR="001C7874">
        <w:rPr>
          <w:rFonts w:ascii="Times New Roman" w:hAnsi="Times New Roman" w:cs="Times New Roman"/>
          <w:i/>
          <w:sz w:val="24"/>
          <w:szCs w:val="24"/>
        </w:rPr>
        <w:t>(</w:t>
      </w:r>
      <w:r w:rsidR="001C7874" w:rsidRPr="001C7874">
        <w:rPr>
          <w:rFonts w:ascii="Times New Roman" w:hAnsi="Times New Roman" w:cs="Times New Roman"/>
          <w:i/>
          <w:sz w:val="24"/>
          <w:szCs w:val="24"/>
        </w:rPr>
        <w:t xml:space="preserve">without </w:t>
      </w:r>
      <w:proofErr w:type="spellStart"/>
      <w:r w:rsidR="001C7874" w:rsidRPr="001C7874">
        <w:rPr>
          <w:rFonts w:ascii="Times New Roman" w:hAnsi="Times New Roman" w:cs="Times New Roman"/>
          <w:i/>
          <w:sz w:val="24"/>
          <w:szCs w:val="24"/>
        </w:rPr>
        <w:t>Malenovský</w:t>
      </w:r>
      <w:proofErr w:type="spellEnd"/>
      <w:r w:rsidR="001C7874">
        <w:rPr>
          <w:rFonts w:ascii="Times New Roman" w:hAnsi="Times New Roman" w:cs="Times New Roman"/>
          <w:i/>
          <w:sz w:val="24"/>
          <w:szCs w:val="24"/>
        </w:rPr>
        <w:t>)</w:t>
      </w:r>
    </w:p>
    <w:p w14:paraId="08F31F88" w14:textId="77777777" w:rsidR="001C7874" w:rsidRDefault="001C7874" w:rsidP="0007299C">
      <w:pPr>
        <w:jc w:val="both"/>
      </w:pPr>
    </w:p>
    <w:p w14:paraId="5139AEB8" w14:textId="77777777" w:rsidR="0007299C" w:rsidRPr="000B39F3" w:rsidRDefault="00807A8C" w:rsidP="0007299C">
      <w:pPr>
        <w:jc w:val="both"/>
      </w:pPr>
      <w:r w:rsidRPr="000B39F3">
        <w:t>In summary, a</w:t>
      </w:r>
      <w:r w:rsidR="0007299C" w:rsidRPr="000B39F3">
        <w:t>mong the legal approaches applied by the Court, the analysis confirms a preference for teleological and dynamic rather than systematic arguments,</w:t>
      </w:r>
      <w:r w:rsidR="0007299C" w:rsidRPr="000B39F3">
        <w:rPr>
          <w:rStyle w:val="FootnoteReference"/>
        </w:rPr>
        <w:footnoteReference w:id="150"/>
      </w:r>
      <w:r w:rsidR="0007299C" w:rsidRPr="000B39F3">
        <w:t xml:space="preserve"> although the recourse to traditional </w:t>
      </w:r>
      <w:r w:rsidR="0007299C" w:rsidRPr="000B39F3">
        <w:rPr>
          <w:i/>
        </w:rPr>
        <w:t>topoi</w:t>
      </w:r>
      <w:r w:rsidR="0007299C" w:rsidRPr="000B39F3">
        <w:t xml:space="preserve"> is far larger than the implementation of </w:t>
      </w:r>
      <w:r w:rsidR="00B624C4" w:rsidRPr="000B39F3">
        <w:t>particularly</w:t>
      </w:r>
      <w:r w:rsidR="0007299C" w:rsidRPr="000B39F3">
        <w:t xml:space="preserve"> European canons (</w:t>
      </w:r>
      <w:proofErr w:type="spellStart"/>
      <w:r w:rsidR="0007299C" w:rsidRPr="000B39F3">
        <w:rPr>
          <w:i/>
        </w:rPr>
        <w:t>effet</w:t>
      </w:r>
      <w:proofErr w:type="spellEnd"/>
      <w:r w:rsidR="0007299C" w:rsidRPr="000B39F3">
        <w:rPr>
          <w:i/>
        </w:rPr>
        <w:t xml:space="preserve"> utile</w:t>
      </w:r>
      <w:r w:rsidR="0007299C" w:rsidRPr="000B39F3">
        <w:t>, proportionality, etc.). However, overall t</w:t>
      </w:r>
      <w:r w:rsidR="00B92871" w:rsidRPr="000B39F3">
        <w:t>he data suggest a sophisticated</w:t>
      </w:r>
      <w:r w:rsidR="0007299C" w:rsidRPr="000B39F3">
        <w:t xml:space="preserve"> approach of the Court on copyright matters, in line perhaps with the ‘rule of reason’ theorised by some commentators, which involves a balancing between the rights codified in European law and community interests, in an attempt to develop both coherence and integration in the European jurisdiction.</w:t>
      </w:r>
      <w:r w:rsidR="0007299C" w:rsidRPr="000B39F3">
        <w:rPr>
          <w:rStyle w:val="FootnoteReference"/>
          <w:rFonts w:ascii="Calibri"/>
        </w:rPr>
        <w:footnoteReference w:id="151"/>
      </w:r>
    </w:p>
    <w:p w14:paraId="2CF09FB9" w14:textId="77777777" w:rsidR="0007299C" w:rsidRPr="000B39F3" w:rsidRDefault="0007299C" w:rsidP="0007299C">
      <w:pPr>
        <w:jc w:val="both"/>
      </w:pPr>
      <w:r w:rsidRPr="000B39F3">
        <w:t>On the entitlements of copyright owne</w:t>
      </w:r>
      <w:r w:rsidR="00807A8C" w:rsidRPr="000B39F3">
        <w:t>rs and users</w:t>
      </w:r>
      <w:r w:rsidRPr="000B39F3">
        <w:t xml:space="preserve">, the analysis provides a </w:t>
      </w:r>
      <w:r w:rsidRPr="000B39F3">
        <w:rPr>
          <w:i/>
        </w:rPr>
        <w:t>chiaroscuro</w:t>
      </w:r>
      <w:r w:rsidRPr="000B39F3">
        <w:t xml:space="preserve"> of broad and narrow interpretations of rights and ex</w:t>
      </w:r>
      <w:r w:rsidR="00AC2009" w:rsidRPr="000B39F3">
        <w:t>ceptions, which reveals a complex</w:t>
      </w:r>
      <w:r w:rsidRPr="000B39F3">
        <w:t xml:space="preserve"> picture of European cop</w:t>
      </w:r>
      <w:r w:rsidR="00AC2009" w:rsidRPr="000B39F3">
        <w:t>yright jurisprudence</w:t>
      </w:r>
      <w:r w:rsidRPr="000B39F3">
        <w:t xml:space="preserve"> beyond claims of copyright overprotection. Narrow construction</w:t>
      </w:r>
      <w:r w:rsidR="0027632B" w:rsidRPr="000B39F3">
        <w:t>s</w:t>
      </w:r>
      <w:r w:rsidRPr="000B39F3">
        <w:t xml:space="preserve"> of the rights of the owner are at least as freque</w:t>
      </w:r>
      <w:r w:rsidR="00B624C4" w:rsidRPr="000B39F3">
        <w:t>nt as broad constructions. T</w:t>
      </w:r>
      <w:r w:rsidRPr="000B39F3">
        <w:t xml:space="preserve">hey often occur on similar copyright issues, </w:t>
      </w:r>
      <w:r w:rsidR="0027632B" w:rsidRPr="000B39F3">
        <w:t>and may be</w:t>
      </w:r>
      <w:r w:rsidRPr="000B39F3">
        <w:t xml:space="preserve"> based on similar arguments, such as the </w:t>
      </w:r>
      <w:r w:rsidR="00B624C4" w:rsidRPr="000B39F3">
        <w:t xml:space="preserve">high protection of copyright holders recommended in recitals (4) and (9) </w:t>
      </w:r>
      <w:r w:rsidRPr="000B39F3">
        <w:t xml:space="preserve">of the </w:t>
      </w:r>
      <w:proofErr w:type="spellStart"/>
      <w:r w:rsidRPr="000B39F3">
        <w:t>InfoSoc</w:t>
      </w:r>
      <w:proofErr w:type="spellEnd"/>
      <w:r w:rsidRPr="000B39F3">
        <w:t xml:space="preserve"> directive. The Court in fact seems to strive to balance the latter principle with other considerations. </w:t>
      </w:r>
    </w:p>
    <w:p w14:paraId="262C5A52" w14:textId="77777777" w:rsidR="0007299C" w:rsidRPr="000B39F3" w:rsidRDefault="0007299C" w:rsidP="0007299C">
      <w:pPr>
        <w:jc w:val="both"/>
      </w:pPr>
      <w:r w:rsidRPr="000B39F3">
        <w:t>An analysis of the arguments used by the Court to justi</w:t>
      </w:r>
      <w:r w:rsidR="00AB5073" w:rsidRPr="000B39F3">
        <w:t>fy their rulings, citing</w:t>
      </w:r>
      <w:r w:rsidRPr="000B39F3">
        <w:t xml:space="preserve"> the ‘intention of the legislator’</w:t>
      </w:r>
      <w:r w:rsidR="00AB5073" w:rsidRPr="000B39F3">
        <w:t>,</w:t>
      </w:r>
      <w:r w:rsidRPr="000B39F3">
        <w:t xml:space="preserve"> reveals interesting cues about what these other considerations might be. ‘Fair balance’ of rights and interests is argued in many cases with an unfavourable outcome for the </w:t>
      </w:r>
      <w:proofErr w:type="spellStart"/>
      <w:r w:rsidRPr="000B39F3">
        <w:t>rightholder</w:t>
      </w:r>
      <w:proofErr w:type="spellEnd"/>
      <w:r w:rsidRPr="000B39F3">
        <w:t xml:space="preserve">, together with free competition, fostering technological development, ‘adequate’ protection of </w:t>
      </w:r>
      <w:proofErr w:type="spellStart"/>
      <w:r w:rsidRPr="000B39F3">
        <w:t>rightholder</w:t>
      </w:r>
      <w:proofErr w:type="spellEnd"/>
      <w:r w:rsidRPr="000B39F3">
        <w:t>, and ‘minimal harmonization’. Copyright harmonization is instead favoured by pro-</w:t>
      </w:r>
      <w:proofErr w:type="spellStart"/>
      <w:r w:rsidRPr="000B39F3">
        <w:t>rightholder</w:t>
      </w:r>
      <w:proofErr w:type="spellEnd"/>
      <w:r w:rsidRPr="000B39F3">
        <w:t xml:space="preserve"> rulings, surpassed only by the</w:t>
      </w:r>
      <w:r w:rsidR="00AB5073" w:rsidRPr="000B39F3">
        <w:t xml:space="preserve"> ‘high protection for the copyright holder</w:t>
      </w:r>
      <w:r w:rsidRPr="000B39F3">
        <w:t>’. The data analysis shows a significant impact of the latter argument on the outcome of the case, which is (with one exception only</w:t>
      </w:r>
      <w:r w:rsidRPr="000B39F3">
        <w:rPr>
          <w:rStyle w:val="FootnoteReference"/>
        </w:rPr>
        <w:footnoteReference w:id="152"/>
      </w:r>
      <w:r w:rsidRPr="000B39F3">
        <w:t xml:space="preserve">) </w:t>
      </w:r>
      <w:r w:rsidR="00A25084" w:rsidRPr="000B39F3">
        <w:t>un</w:t>
      </w:r>
      <w:r w:rsidRPr="000B39F3">
        <w:t xml:space="preserve">favourable to the </w:t>
      </w:r>
      <w:proofErr w:type="spellStart"/>
      <w:r w:rsidRPr="000B39F3">
        <w:t>rightholder</w:t>
      </w:r>
      <w:proofErr w:type="spellEnd"/>
      <w:r w:rsidRPr="000B39F3">
        <w:t>.</w:t>
      </w:r>
    </w:p>
    <w:p w14:paraId="0E91B4AA" w14:textId="04844A83" w:rsidR="0007299C" w:rsidRPr="000B39F3" w:rsidRDefault="0007299C" w:rsidP="0007299C">
      <w:pPr>
        <w:jc w:val="both"/>
      </w:pPr>
      <w:r w:rsidRPr="000B39F3">
        <w:t xml:space="preserve">A further difference in approach can be observed between copyright cases stemming from the </w:t>
      </w:r>
      <w:proofErr w:type="spellStart"/>
      <w:r w:rsidRPr="000B39F3">
        <w:t>InfoSoc</w:t>
      </w:r>
      <w:proofErr w:type="spellEnd"/>
      <w:r w:rsidRPr="000B39F3">
        <w:t xml:space="preserve"> directive and cases on copyright-related rights (stemming from other directives). While the </w:t>
      </w:r>
      <w:r w:rsidR="00AB5073" w:rsidRPr="000B39F3">
        <w:t>former</w:t>
      </w:r>
      <w:r w:rsidRPr="000B39F3">
        <w:t xml:space="preserve"> reveal a higher probability of a favourable outcome for the </w:t>
      </w:r>
      <w:proofErr w:type="spellStart"/>
      <w:r w:rsidRPr="000B39F3">
        <w:t>rightholder</w:t>
      </w:r>
      <w:proofErr w:type="spellEnd"/>
      <w:r w:rsidRPr="000B39F3">
        <w:t xml:space="preserve"> (although maybe not as high as one could expect</w:t>
      </w:r>
      <w:r w:rsidR="00AB5073" w:rsidRPr="000B39F3">
        <w:t xml:space="preserve"> from the recitals of that directive</w:t>
      </w:r>
      <w:r w:rsidRPr="000B39F3">
        <w:t xml:space="preserve">), the </w:t>
      </w:r>
      <w:r w:rsidR="003E34D0" w:rsidRPr="000B39F3">
        <w:t>latter</w:t>
      </w:r>
      <w:r w:rsidRPr="000B39F3">
        <w:t xml:space="preserve"> feature a higher predictability and consistency in the </w:t>
      </w:r>
      <w:r w:rsidRPr="000B39F3">
        <w:lastRenderedPageBreak/>
        <w:t>approach.</w:t>
      </w:r>
      <w:r w:rsidR="00C91C62" w:rsidRPr="000B39F3">
        <w:t xml:space="preserve"> </w:t>
      </w:r>
      <w:r w:rsidRPr="000B39F3">
        <w:t xml:space="preserve">For example, cases of software protection or exhaustion of rights invariably prompt competition arguments (and are ruled against the owner) whereas </w:t>
      </w:r>
      <w:proofErr w:type="gramStart"/>
      <w:r w:rsidRPr="000B39F3">
        <w:t>rental and lending rights are often solved by shifting the decision to Member States, in the name of ‘minimal harmonization’</w:t>
      </w:r>
      <w:proofErr w:type="gramEnd"/>
      <w:r w:rsidRPr="000B39F3">
        <w:t>.</w:t>
      </w:r>
    </w:p>
    <w:p w14:paraId="06CC8C11" w14:textId="77777777" w:rsidR="0007299C" w:rsidRPr="000B39F3" w:rsidRDefault="0007299C" w:rsidP="0007299C">
      <w:pPr>
        <w:jc w:val="both"/>
      </w:pPr>
      <w:r w:rsidRPr="000B39F3">
        <w:t xml:space="preserve">However, on more nuanced issues such as the right of communication to the public or, more generally, rights or exceptions stemming from the </w:t>
      </w:r>
      <w:proofErr w:type="spellStart"/>
      <w:r w:rsidRPr="000B39F3">
        <w:t>InfoSoc</w:t>
      </w:r>
      <w:proofErr w:type="spellEnd"/>
      <w:r w:rsidRPr="000B39F3">
        <w:t xml:space="preserve"> directive, approach patterns are more volatile. As the recent rulings </w:t>
      </w:r>
      <w:r w:rsidRPr="000B39F3">
        <w:rPr>
          <w:i/>
        </w:rPr>
        <w:t>OSA</w:t>
      </w:r>
      <w:r w:rsidRPr="000B39F3">
        <w:t xml:space="preserve"> and </w:t>
      </w:r>
      <w:proofErr w:type="spellStart"/>
      <w:r w:rsidRPr="000B39F3">
        <w:rPr>
          <w:i/>
        </w:rPr>
        <w:t>Svensson</w:t>
      </w:r>
      <w:proofErr w:type="spellEnd"/>
      <w:r w:rsidRPr="000B39F3">
        <w:t xml:space="preserve"> show, the same argument (high protection for the author) and the same approach (teleological) on the same concept (communication to the public from the </w:t>
      </w:r>
      <w:proofErr w:type="spellStart"/>
      <w:r w:rsidRPr="000B39F3">
        <w:t>InfoSoc</w:t>
      </w:r>
      <w:proofErr w:type="spellEnd"/>
      <w:r w:rsidRPr="000B39F3">
        <w:t xml:space="preserve"> directive) can lead to opposite outcomes. This suggests on the one hand that when the legislation is clearly formulated the impact of subject-specific knowledge (or lack of it) on the ruling is contained. On the other hand it might also suggest that when the </w:t>
      </w:r>
      <w:proofErr w:type="gramStart"/>
      <w:r w:rsidRPr="000B39F3">
        <w:t>subject-matter</w:t>
      </w:r>
      <w:proofErr w:type="gramEnd"/>
      <w:r w:rsidRPr="000B39F3">
        <w:t xml:space="preserve"> is more difficult to define, or more controversial, subject-specific knowledge is essential. This is confirmed by the analysis of the relationships between the approaches and court members. Those that have developed within the Court a relatively larger domain expertise issue more balanced rulings or opinions, while developing a larger array of arguments. The balance between copyright owners and users is in fact a </w:t>
      </w:r>
      <w:proofErr w:type="gramStart"/>
      <w:r w:rsidRPr="000B39F3">
        <w:t>more subtle</w:t>
      </w:r>
      <w:proofErr w:type="gramEnd"/>
      <w:r w:rsidRPr="000B39F3">
        <w:t xml:space="preserve"> but more important overarching principle of copyright law than ‘high protection’ for </w:t>
      </w:r>
      <w:proofErr w:type="spellStart"/>
      <w:r w:rsidRPr="000B39F3">
        <w:t>rightholders</w:t>
      </w:r>
      <w:proofErr w:type="spellEnd"/>
      <w:r w:rsidRPr="000B39F3">
        <w:t xml:space="preserve">. </w:t>
      </w:r>
    </w:p>
    <w:p w14:paraId="70262564" w14:textId="3B23C88C" w:rsidR="004967C5" w:rsidRPr="000B39F3" w:rsidRDefault="0007299C" w:rsidP="008235B3">
      <w:r w:rsidRPr="000B39F3">
        <w:t xml:space="preserve">Striving for balance is certainly an essential quality for a court. At least, the data show that the ECJ is not biased either towards or against </w:t>
      </w:r>
      <w:proofErr w:type="spellStart"/>
      <w:r w:rsidRPr="000B39F3">
        <w:t>rightholders</w:t>
      </w:r>
      <w:proofErr w:type="spellEnd"/>
      <w:r w:rsidRPr="000B39F3">
        <w:t xml:space="preserve">, as its </w:t>
      </w:r>
      <w:r w:rsidR="00EF4A18" w:rsidRPr="000B39F3">
        <w:t>judgment</w:t>
      </w:r>
      <w:r w:rsidR="00143625" w:rsidRPr="000B39F3">
        <w:t xml:space="preserve">s appear to be </w:t>
      </w:r>
      <w:r w:rsidRPr="000B39F3">
        <w:t>distrib</w:t>
      </w:r>
      <w:r w:rsidR="008235B3" w:rsidRPr="000B39F3">
        <w:t xml:space="preserve">uted between the two outcomes. </w:t>
      </w:r>
    </w:p>
    <w:p w14:paraId="02755688" w14:textId="77777777" w:rsidR="0069332A" w:rsidRPr="000B39F3" w:rsidRDefault="0069332A" w:rsidP="008235B3"/>
    <w:p w14:paraId="6A8553C7" w14:textId="3A15783A" w:rsidR="00663599" w:rsidRPr="000B39F3" w:rsidRDefault="008D2BA1" w:rsidP="008D2BA1">
      <w:pPr>
        <w:jc w:val="center"/>
        <w:outlineLvl w:val="0"/>
        <w:rPr>
          <w:b/>
        </w:rPr>
      </w:pPr>
      <w:r w:rsidRPr="000B39F3">
        <w:rPr>
          <w:b/>
        </w:rPr>
        <w:t>CONCLUSION</w:t>
      </w:r>
    </w:p>
    <w:p w14:paraId="17EBF83A" w14:textId="77777777" w:rsidR="005C5ADE" w:rsidRPr="000B39F3" w:rsidRDefault="005C5ADE" w:rsidP="005C5ADE">
      <w:r w:rsidRPr="000B39F3">
        <w:t>We set out to investigate how the Court of Justice of the European Union has dealt with copyright cases against the backdrop of a dramatic and controversial increase in such cases duri</w:t>
      </w:r>
      <w:r w:rsidR="00F10F1F" w:rsidRPr="000B39F3">
        <w:t>ng the last decade. W</w:t>
      </w:r>
      <w:r w:rsidRPr="000B39F3">
        <w:t>e empirically investigated two claims: (</w:t>
      </w:r>
      <w:proofErr w:type="spellStart"/>
      <w:r w:rsidRPr="000B39F3">
        <w:t>i</w:t>
      </w:r>
      <w:proofErr w:type="spellEnd"/>
      <w:r w:rsidRPr="000B39F3">
        <w:t>) that the Court has failed to develop a coherent copyright jurisprudence (lacking domain expertise, copyright specific reasoning, and predictability); (ii) that the Court has pursued an activist, harmonising agenda (resorting to teleological interpretation of European law).</w:t>
      </w:r>
    </w:p>
    <w:p w14:paraId="529E8802" w14:textId="24C73117" w:rsidR="00575BFC" w:rsidRPr="000B39F3" w:rsidRDefault="00504701" w:rsidP="00575BFC">
      <w:r w:rsidRPr="000B39F3">
        <w:t xml:space="preserve">Our </w:t>
      </w:r>
      <w:r w:rsidR="00CB594F" w:rsidRPr="000B39F3">
        <w:t>two empirical studies</w:t>
      </w:r>
      <w:r w:rsidRPr="000B39F3">
        <w:t xml:space="preserve"> introduced various</w:t>
      </w:r>
      <w:r w:rsidR="005C5ADE" w:rsidRPr="000B39F3">
        <w:t xml:space="preserve"> measures </w:t>
      </w:r>
      <w:r w:rsidR="006D7A71" w:rsidRPr="000B39F3">
        <w:t>to assess</w:t>
      </w:r>
      <w:r w:rsidR="00C91C62" w:rsidRPr="000B39F3">
        <w:t xml:space="preserve"> </w:t>
      </w:r>
      <w:r w:rsidRPr="000B39F3">
        <w:t xml:space="preserve">each of these claims. To investigate the suspected </w:t>
      </w:r>
      <w:r w:rsidR="005C5ADE" w:rsidRPr="000B39F3">
        <w:t>lack of a coherent</w:t>
      </w:r>
      <w:r w:rsidR="00C426B5" w:rsidRPr="000B39F3">
        <w:t xml:space="preserve"> copyright jurisprudence we sought to identify</w:t>
      </w:r>
      <w:r w:rsidR="005C5ADE" w:rsidRPr="000B39F3">
        <w:t xml:space="preserve"> specific pre-existing</w:t>
      </w:r>
      <w:r w:rsidR="001C7874">
        <w:t xml:space="preserve"> judicial</w:t>
      </w:r>
      <w:r w:rsidR="005C5ADE" w:rsidRPr="000B39F3">
        <w:t xml:space="preserve"> expertise in the area of </w:t>
      </w:r>
      <w:r w:rsidR="006D7A71" w:rsidRPr="000B39F3">
        <w:t>c</w:t>
      </w:r>
      <w:r w:rsidR="005C5ADE" w:rsidRPr="000B39F3">
        <w:t>opyright and related rights. T</w:t>
      </w:r>
      <w:r w:rsidR="004D7CDF" w:rsidRPr="000B39F3">
        <w:t>his can be derived from the b</w:t>
      </w:r>
      <w:r w:rsidR="005C5ADE" w:rsidRPr="000B39F3">
        <w:t>iographical data about member</w:t>
      </w:r>
      <w:r w:rsidR="004D7CDF" w:rsidRPr="000B39F3">
        <w:t>s</w:t>
      </w:r>
      <w:r w:rsidR="005C5ADE" w:rsidRPr="000B39F3">
        <w:t xml:space="preserve"> of the court that are in </w:t>
      </w:r>
      <w:r w:rsidR="00C426B5" w:rsidRPr="000B39F3">
        <w:t>the public domain</w:t>
      </w:r>
      <w:r w:rsidR="005C5ADE" w:rsidRPr="000B39F3">
        <w:t xml:space="preserve">. </w:t>
      </w:r>
      <w:r w:rsidR="005E0F2B" w:rsidRPr="000B39F3">
        <w:t>We found that t</w:t>
      </w:r>
      <w:r w:rsidR="005C5ADE" w:rsidRPr="000B39F3">
        <w:t>he members of the European Court of Justice are mainly ex-academics, civil servants, judges, or all of these things. They have mostly a backgr</w:t>
      </w:r>
      <w:r w:rsidR="00575BFC" w:rsidRPr="000B39F3">
        <w:t>ound in European Law or Public L</w:t>
      </w:r>
      <w:r w:rsidR="005C5ADE" w:rsidRPr="000B39F3">
        <w:t>aw. While some subject-specific competences (criminal matters, family law, competition and commercial law) are slowly entering the European Court, not all a</w:t>
      </w:r>
      <w:r w:rsidR="001C7874">
        <w:t>reas are covered. T</w:t>
      </w:r>
      <w:r w:rsidR="005C5ADE" w:rsidRPr="000B39F3">
        <w:t>here are no specialists in copyright law</w:t>
      </w:r>
      <w:bookmarkStart w:id="36" w:name="_RefF125"/>
      <w:bookmarkEnd w:id="36"/>
      <w:r w:rsidR="005C5ADE" w:rsidRPr="000B39F3">
        <w:t xml:space="preserve">, despite the increasing workload of </w:t>
      </w:r>
      <w:r w:rsidR="001C7874">
        <w:t>the Court on these matters.</w:t>
      </w:r>
    </w:p>
    <w:p w14:paraId="26D4A4BF" w14:textId="6E849A26" w:rsidR="00575BFC" w:rsidRPr="000B39F3" w:rsidRDefault="00AC24A7" w:rsidP="00575BFC">
      <w:r w:rsidRPr="000B39F3">
        <w:t xml:space="preserve">The Court appears to compensate </w:t>
      </w:r>
      <w:r w:rsidR="005E0F2B" w:rsidRPr="000B39F3">
        <w:t xml:space="preserve">for </w:t>
      </w:r>
      <w:r w:rsidRPr="000B39F3">
        <w:t>this</w:t>
      </w:r>
      <w:r w:rsidR="005C5ADE" w:rsidRPr="000B39F3">
        <w:t xml:space="preserve"> lack of spe</w:t>
      </w:r>
      <w:r w:rsidRPr="000B39F3">
        <w:t xml:space="preserve">cialisation </w:t>
      </w:r>
      <w:r w:rsidR="005C5ADE" w:rsidRPr="000B39F3">
        <w:t>by a subject-specific distribution of the workload among court members, enabling ‘judicial learning’.</w:t>
      </w:r>
      <w:r w:rsidR="00C91C62" w:rsidRPr="000B39F3">
        <w:t xml:space="preserve"> </w:t>
      </w:r>
      <w:r w:rsidR="00575BFC" w:rsidRPr="000B39F3">
        <w:t>When testing the allocation of cases to Chambers, Reporting Judges and Advocates General</w:t>
      </w:r>
      <w:r w:rsidR="00C91C62" w:rsidRPr="000B39F3">
        <w:t xml:space="preserve"> </w:t>
      </w:r>
      <w:r w:rsidR="00575BFC" w:rsidRPr="000B39F3">
        <w:t>we concluded that the observed pattern of repeat allocations is statistically highly significant, and can only be explained by a deliberate policy</w:t>
      </w:r>
      <w:r w:rsidR="00C91C62" w:rsidRPr="000B39F3">
        <w:t xml:space="preserve"> </w:t>
      </w:r>
      <w:r w:rsidR="00575BFC" w:rsidRPr="000B39F3">
        <w:t xml:space="preserve">by the Court to overcome this lack of pre-existing expertise through the creation of </w:t>
      </w:r>
      <w:r w:rsidR="00575BFC" w:rsidRPr="000B39F3">
        <w:rPr>
          <w:i/>
        </w:rPr>
        <w:t>de facto</w:t>
      </w:r>
      <w:r w:rsidR="00575BFC" w:rsidRPr="000B39F3">
        <w:t xml:space="preserve"> specialist chambers.</w:t>
      </w:r>
    </w:p>
    <w:p w14:paraId="46C0FC11" w14:textId="57E91B35" w:rsidR="005C5ADE" w:rsidRPr="000B39F3" w:rsidRDefault="00F63CD0" w:rsidP="00807A8C">
      <w:pPr>
        <w:rPr>
          <w:rFonts w:hAnsi="Arial"/>
        </w:rPr>
      </w:pPr>
      <w:r w:rsidRPr="000B39F3">
        <w:t xml:space="preserve">A </w:t>
      </w:r>
      <w:r w:rsidR="00807A8C" w:rsidRPr="000B39F3">
        <w:t>further</w:t>
      </w:r>
      <w:r w:rsidRPr="000B39F3">
        <w:t xml:space="preserve"> measure for a</w:t>
      </w:r>
      <w:r w:rsidR="005C5ADE" w:rsidRPr="000B39F3">
        <w:t xml:space="preserve"> lack of a coherent jurisprudence </w:t>
      </w:r>
      <w:r w:rsidRPr="000B39F3">
        <w:t xml:space="preserve">may be provided </w:t>
      </w:r>
      <w:r w:rsidR="00807A8C" w:rsidRPr="000B39F3">
        <w:t xml:space="preserve">by the </w:t>
      </w:r>
      <w:r w:rsidRPr="000B39F3">
        <w:t>identification of unpredictable patterns of reasoning. For example, our</w:t>
      </w:r>
      <w:r w:rsidR="005C5ADE" w:rsidRPr="000B39F3">
        <w:t xml:space="preserve"> content </w:t>
      </w:r>
      <w:r w:rsidRPr="000B39F3">
        <w:t>analysis suggests</w:t>
      </w:r>
      <w:r w:rsidRPr="000B39F3">
        <w:rPr>
          <w:rFonts w:hAnsi="Arial"/>
        </w:rPr>
        <w:t xml:space="preserve"> that d</w:t>
      </w:r>
      <w:r w:rsidR="005C5ADE" w:rsidRPr="000B39F3">
        <w:rPr>
          <w:rFonts w:hAnsi="Arial"/>
        </w:rPr>
        <w:t xml:space="preserve">espite different outcomes in the interpretation of the concept of </w:t>
      </w:r>
      <w:r w:rsidR="005C5ADE" w:rsidRPr="000B39F3">
        <w:rPr>
          <w:rFonts w:hAnsi="Arial"/>
        </w:rPr>
        <w:t>‘</w:t>
      </w:r>
      <w:r w:rsidR="005C5ADE" w:rsidRPr="000B39F3">
        <w:rPr>
          <w:rFonts w:hAnsi="Arial"/>
        </w:rPr>
        <w:t>communication to the public</w:t>
      </w:r>
      <w:r w:rsidR="005C5ADE" w:rsidRPr="000B39F3">
        <w:rPr>
          <w:rFonts w:hAnsi="Arial"/>
        </w:rPr>
        <w:t>’</w:t>
      </w:r>
      <w:r w:rsidR="005C5ADE" w:rsidRPr="000B39F3">
        <w:rPr>
          <w:rFonts w:hAnsi="Arial"/>
        </w:rPr>
        <w:t>, according to our data, all the above cases are grounded on a semantic interpretation of the law, confirmed by a teleologica</w:t>
      </w:r>
      <w:r w:rsidRPr="000B39F3">
        <w:rPr>
          <w:rFonts w:hAnsi="Arial"/>
        </w:rPr>
        <w:t xml:space="preserve">l interpretation </w:t>
      </w:r>
      <w:r w:rsidR="005C5ADE" w:rsidRPr="000B39F3">
        <w:rPr>
          <w:rFonts w:hAnsi="Arial"/>
        </w:rPr>
        <w:t>and by a systemati</w:t>
      </w:r>
      <w:r w:rsidRPr="000B39F3">
        <w:rPr>
          <w:rFonts w:hAnsi="Arial"/>
        </w:rPr>
        <w:t>c interpretation</w:t>
      </w:r>
      <w:r w:rsidR="005C5ADE" w:rsidRPr="000B39F3">
        <w:rPr>
          <w:rFonts w:hAnsi="Arial"/>
        </w:rPr>
        <w:t>.</w:t>
      </w:r>
      <w:r w:rsidR="00C91C62" w:rsidRPr="000B39F3">
        <w:rPr>
          <w:rFonts w:hAnsi="Arial"/>
        </w:rPr>
        <w:t xml:space="preserve"> </w:t>
      </w:r>
      <w:r w:rsidR="005C5ADE" w:rsidRPr="000B39F3">
        <w:t xml:space="preserve">When applying </w:t>
      </w:r>
      <w:r w:rsidRPr="000B39F3">
        <w:t xml:space="preserve">quantitative content analysis to the use of </w:t>
      </w:r>
      <w:r w:rsidR="005C5ADE" w:rsidRPr="000B39F3">
        <w:t>argument</w:t>
      </w:r>
      <w:r w:rsidR="001C7874">
        <w:t>s within</w:t>
      </w:r>
      <w:r w:rsidRPr="000B39F3">
        <w:t xml:space="preserve"> </w:t>
      </w:r>
      <w:r w:rsidRPr="000B39F3">
        <w:rPr>
          <w:i/>
        </w:rPr>
        <w:t>topoi</w:t>
      </w:r>
      <w:r w:rsidRPr="000B39F3">
        <w:t>, we</w:t>
      </w:r>
      <w:r w:rsidR="00C91C62" w:rsidRPr="000B39F3">
        <w:t xml:space="preserve"> </w:t>
      </w:r>
      <w:r w:rsidRPr="000B39F3">
        <w:t>find that the reasoning of the dominant copyright ju</w:t>
      </w:r>
      <w:r w:rsidR="005E0F2B" w:rsidRPr="000B39F3">
        <w:t xml:space="preserve">dge </w:t>
      </w:r>
      <w:proofErr w:type="spellStart"/>
      <w:r w:rsidR="005E0F2B" w:rsidRPr="000B39F3">
        <w:t>Malenovský</w:t>
      </w:r>
      <w:proofErr w:type="spellEnd"/>
      <w:r w:rsidR="005E0F2B" w:rsidRPr="000B39F3">
        <w:t xml:space="preserve"> (</w:t>
      </w:r>
      <w:r w:rsidR="005E0F2B" w:rsidRPr="000B39F3">
        <w:rPr>
          <w:i/>
        </w:rPr>
        <w:t>rapporteur</w:t>
      </w:r>
      <w:r w:rsidR="006516DA" w:rsidRPr="000B39F3">
        <w:t xml:space="preserve"> in </w:t>
      </w:r>
      <w:r w:rsidR="00FD791E" w:rsidRPr="000B39F3">
        <w:t>twenty-four</w:t>
      </w:r>
      <w:r w:rsidRPr="000B39F3">
        <w:t xml:space="preserve"> of </w:t>
      </w:r>
      <w:r w:rsidR="00FD791E" w:rsidRPr="000B39F3">
        <w:t>forty</w:t>
      </w:r>
      <w:r w:rsidRPr="000B39F3">
        <w:t xml:space="preserve"> </w:t>
      </w:r>
      <w:r w:rsidR="00C91C62" w:rsidRPr="000B39F3">
        <w:t xml:space="preserve">copyright </w:t>
      </w:r>
      <w:r w:rsidRPr="000B39F3">
        <w:t xml:space="preserve">cases) differs from that of the other judges. This may be an indicator of judicial learning. </w:t>
      </w:r>
      <w:r w:rsidR="0007299C" w:rsidRPr="000B39F3">
        <w:t>We acknowledge as a limitation that t</w:t>
      </w:r>
      <w:r w:rsidRPr="000B39F3">
        <w:t>his finding reflects</w:t>
      </w:r>
      <w:r w:rsidR="005C5ADE" w:rsidRPr="000B39F3">
        <w:t xml:space="preserve"> descriptive statistics on a small sample. </w:t>
      </w:r>
      <w:r w:rsidRPr="000B39F3">
        <w:t>However,</w:t>
      </w:r>
      <w:r w:rsidR="005C5ADE" w:rsidRPr="000B39F3">
        <w:t xml:space="preserve"> the same pattern on </w:t>
      </w:r>
      <w:r w:rsidR="005E0F2B" w:rsidRPr="000B39F3">
        <w:t xml:space="preserve">a </w:t>
      </w:r>
      <w:r w:rsidR="005C5ADE" w:rsidRPr="000B39F3">
        <w:t>larger sample wou</w:t>
      </w:r>
      <w:r w:rsidR="0007299C" w:rsidRPr="000B39F3">
        <w:t>ld be significant.</w:t>
      </w:r>
    </w:p>
    <w:p w14:paraId="7492F95B" w14:textId="4E506E99" w:rsidR="005C5ADE" w:rsidRPr="000B39F3" w:rsidRDefault="0007299C" w:rsidP="005C5ADE">
      <w:r w:rsidRPr="000B39F3">
        <w:lastRenderedPageBreak/>
        <w:t xml:space="preserve">We now </w:t>
      </w:r>
      <w:r w:rsidR="005C5ADE" w:rsidRPr="000B39F3">
        <w:t>turn to the</w:t>
      </w:r>
      <w:r w:rsidRPr="000B39F3">
        <w:t xml:space="preserve"> second</w:t>
      </w:r>
      <w:r w:rsidR="005C5ADE" w:rsidRPr="000B39F3">
        <w:t xml:space="preserve"> claim</w:t>
      </w:r>
      <w:r w:rsidRPr="000B39F3">
        <w:t>,</w:t>
      </w:r>
      <w:r w:rsidR="005C5ADE" w:rsidRPr="000B39F3">
        <w:t xml:space="preserve"> that the Court has pursued an activist, upwardly harmonising agenda</w:t>
      </w:r>
      <w:r w:rsidRPr="000B39F3">
        <w:t>.</w:t>
      </w:r>
      <w:r w:rsidR="00807A8C" w:rsidRPr="000B39F3">
        <w:t xml:space="preserve"> Measures or indications for such an </w:t>
      </w:r>
      <w:r w:rsidR="005C5ADE" w:rsidRPr="000B39F3">
        <w:t xml:space="preserve">agenda </w:t>
      </w:r>
      <w:r w:rsidRPr="000B39F3">
        <w:t xml:space="preserve">included the possible prevalence of a teleological interpretation of European </w:t>
      </w:r>
      <w:proofErr w:type="gramStart"/>
      <w:r w:rsidRPr="000B39F3">
        <w:t>law which</w:t>
      </w:r>
      <w:proofErr w:type="gramEnd"/>
      <w:r w:rsidRPr="000B39F3">
        <w:t xml:space="preserve"> we sought to capture again through the</w:t>
      </w:r>
      <w:r w:rsidR="005C5ADE" w:rsidRPr="000B39F3">
        <w:t xml:space="preserve"> content analysis of </w:t>
      </w:r>
      <w:r w:rsidRPr="000B39F3">
        <w:t>all</w:t>
      </w:r>
      <w:r w:rsidR="00C91C62" w:rsidRPr="000B39F3">
        <w:t xml:space="preserve"> </w:t>
      </w:r>
      <w:r w:rsidR="005E0F2B" w:rsidRPr="000B39F3">
        <w:t xml:space="preserve">copyright </w:t>
      </w:r>
      <w:r w:rsidR="005C5ADE" w:rsidRPr="000B39F3">
        <w:t xml:space="preserve">judgments (the data sample). The data show indeed a clear prevalence of teleological </w:t>
      </w:r>
      <w:r w:rsidR="005C5ADE" w:rsidRPr="000B39F3">
        <w:rPr>
          <w:i/>
        </w:rPr>
        <w:t>topoi</w:t>
      </w:r>
      <w:r w:rsidR="005C5ADE" w:rsidRPr="000B39F3">
        <w:t xml:space="preserve">, but this finding is </w:t>
      </w:r>
      <w:r w:rsidRPr="000B39F3">
        <w:t>tempered</w:t>
      </w:r>
      <w:r w:rsidR="005C5ADE" w:rsidRPr="000B39F3">
        <w:t xml:space="preserve"> by the presence of complex patterns of </w:t>
      </w:r>
      <w:r w:rsidR="00C9454B" w:rsidRPr="000B39F3">
        <w:t>accumulation</w:t>
      </w:r>
      <w:r w:rsidR="005C5ADE" w:rsidRPr="000B39F3">
        <w:t xml:space="preserve"> (e.g. cumulative use of several approaches without a hierarchical order). This poin</w:t>
      </w:r>
      <w:r w:rsidR="005E0F2B" w:rsidRPr="000B39F3">
        <w:t xml:space="preserve">ts rather </w:t>
      </w:r>
      <w:r w:rsidR="004D7CDF" w:rsidRPr="000B39F3">
        <w:t xml:space="preserve">to a </w:t>
      </w:r>
      <w:r w:rsidR="005E0F2B" w:rsidRPr="000B39F3">
        <w:t>more complex explanation, supported</w:t>
      </w:r>
      <w:r w:rsidR="005C5ADE" w:rsidRPr="000B39F3">
        <w:t xml:space="preserve"> by the finding that the outcome</w:t>
      </w:r>
      <w:r w:rsidR="005E0F2B" w:rsidRPr="000B39F3">
        <w:t>s of the judgments do</w:t>
      </w:r>
      <w:r w:rsidR="005C5ADE" w:rsidRPr="000B39F3">
        <w:t xml:space="preserve"> not (systematically) expand copyright protection.</w:t>
      </w:r>
    </w:p>
    <w:p w14:paraId="45750873" w14:textId="77777777" w:rsidR="00EB09DC" w:rsidRPr="000B39F3" w:rsidRDefault="00807A8C" w:rsidP="00EB09DC">
      <w:r w:rsidRPr="000B39F3">
        <w:t xml:space="preserve">The following table summarises </w:t>
      </w:r>
      <w:r w:rsidR="005E0F2B" w:rsidRPr="000B39F3">
        <w:t>the measures we developed to explore</w:t>
      </w:r>
      <w:r w:rsidRPr="000B39F3">
        <w:t xml:space="preserve"> our initial hypotheses:</w:t>
      </w:r>
    </w:p>
    <w:tbl>
      <w:tblPr>
        <w:tblStyle w:val="TableGrid"/>
        <w:tblW w:w="0" w:type="auto"/>
        <w:tblLook w:val="04A0" w:firstRow="1" w:lastRow="0" w:firstColumn="1" w:lastColumn="0" w:noHBand="0" w:noVBand="1"/>
      </w:tblPr>
      <w:tblGrid>
        <w:gridCol w:w="2463"/>
        <w:gridCol w:w="2464"/>
        <w:gridCol w:w="2464"/>
        <w:gridCol w:w="2464"/>
      </w:tblGrid>
      <w:tr w:rsidR="009F2AE6" w:rsidRPr="000B39F3" w14:paraId="7CD579C5" w14:textId="77777777" w:rsidTr="009F2AE6">
        <w:tc>
          <w:tcPr>
            <w:tcW w:w="2463" w:type="dxa"/>
          </w:tcPr>
          <w:p w14:paraId="35D20F4D" w14:textId="77777777" w:rsidR="009F2AE6" w:rsidRPr="000B39F3" w:rsidRDefault="009F2AE6" w:rsidP="00FD437E">
            <w:pPr>
              <w:rPr>
                <w:b/>
              </w:rPr>
            </w:pPr>
            <w:r w:rsidRPr="000B39F3">
              <w:rPr>
                <w:b/>
              </w:rPr>
              <w:t>Hypothesis</w:t>
            </w:r>
          </w:p>
        </w:tc>
        <w:tc>
          <w:tcPr>
            <w:tcW w:w="2464" w:type="dxa"/>
          </w:tcPr>
          <w:p w14:paraId="56A1C98C" w14:textId="77777777" w:rsidR="009F2AE6" w:rsidRPr="000B39F3" w:rsidRDefault="009F2AE6" w:rsidP="00FD437E">
            <w:pPr>
              <w:rPr>
                <w:b/>
              </w:rPr>
            </w:pPr>
            <w:r w:rsidRPr="000B39F3">
              <w:rPr>
                <w:b/>
              </w:rPr>
              <w:t>Measure</w:t>
            </w:r>
          </w:p>
        </w:tc>
        <w:tc>
          <w:tcPr>
            <w:tcW w:w="2464" w:type="dxa"/>
          </w:tcPr>
          <w:p w14:paraId="17BDF221" w14:textId="77777777" w:rsidR="009F2AE6" w:rsidRPr="000B39F3" w:rsidRDefault="009F2AE6" w:rsidP="00FD437E">
            <w:pPr>
              <w:rPr>
                <w:b/>
              </w:rPr>
            </w:pPr>
            <w:r w:rsidRPr="000B39F3">
              <w:rPr>
                <w:b/>
              </w:rPr>
              <w:t>Data</w:t>
            </w:r>
          </w:p>
        </w:tc>
        <w:tc>
          <w:tcPr>
            <w:tcW w:w="2464" w:type="dxa"/>
          </w:tcPr>
          <w:p w14:paraId="6CFE8F89" w14:textId="77777777" w:rsidR="009F2AE6" w:rsidRPr="000B39F3" w:rsidRDefault="009F2AE6" w:rsidP="00FD437E">
            <w:pPr>
              <w:rPr>
                <w:b/>
              </w:rPr>
            </w:pPr>
            <w:r w:rsidRPr="000B39F3">
              <w:rPr>
                <w:b/>
              </w:rPr>
              <w:t>Findings</w:t>
            </w:r>
          </w:p>
        </w:tc>
      </w:tr>
      <w:tr w:rsidR="009F2AE6" w:rsidRPr="000B39F3" w14:paraId="3DAE725E" w14:textId="77777777" w:rsidTr="009F2AE6">
        <w:tc>
          <w:tcPr>
            <w:tcW w:w="2463" w:type="dxa"/>
          </w:tcPr>
          <w:p w14:paraId="24AD7646" w14:textId="77777777" w:rsidR="009F2AE6" w:rsidRPr="000B39F3" w:rsidRDefault="00FD437E" w:rsidP="00FD437E">
            <w:pPr>
              <w:rPr>
                <w:sz w:val="20"/>
                <w:szCs w:val="20"/>
              </w:rPr>
            </w:pPr>
            <w:r w:rsidRPr="000B39F3">
              <w:rPr>
                <w:sz w:val="20"/>
                <w:szCs w:val="20"/>
              </w:rPr>
              <w:t>ECJ l</w:t>
            </w:r>
            <w:r w:rsidR="009F2AE6" w:rsidRPr="000B39F3">
              <w:rPr>
                <w:sz w:val="20"/>
                <w:szCs w:val="20"/>
              </w:rPr>
              <w:t>ack</w:t>
            </w:r>
            <w:r w:rsidRPr="000B39F3">
              <w:rPr>
                <w:sz w:val="20"/>
                <w:szCs w:val="20"/>
              </w:rPr>
              <w:t xml:space="preserve">s </w:t>
            </w:r>
            <w:r w:rsidR="009F2AE6" w:rsidRPr="000B39F3">
              <w:rPr>
                <w:sz w:val="20"/>
                <w:szCs w:val="20"/>
              </w:rPr>
              <w:t>coherent copyright jurisprudence</w:t>
            </w:r>
          </w:p>
        </w:tc>
        <w:tc>
          <w:tcPr>
            <w:tcW w:w="2464" w:type="dxa"/>
          </w:tcPr>
          <w:p w14:paraId="2D9F3113" w14:textId="7EAFC36A" w:rsidR="009F2AE6" w:rsidRPr="000B39F3" w:rsidRDefault="005E0F2B" w:rsidP="00FD437E">
            <w:pPr>
              <w:rPr>
                <w:sz w:val="20"/>
                <w:szCs w:val="20"/>
              </w:rPr>
            </w:pPr>
            <w:r w:rsidRPr="000B39F3">
              <w:rPr>
                <w:sz w:val="20"/>
                <w:szCs w:val="20"/>
              </w:rPr>
              <w:t xml:space="preserve">1) </w:t>
            </w:r>
            <w:r w:rsidR="009F2AE6" w:rsidRPr="000B39F3">
              <w:rPr>
                <w:sz w:val="20"/>
                <w:szCs w:val="20"/>
              </w:rPr>
              <w:t xml:space="preserve">Judges </w:t>
            </w:r>
            <w:r w:rsidR="00FD437E" w:rsidRPr="000B39F3">
              <w:rPr>
                <w:sz w:val="20"/>
                <w:szCs w:val="20"/>
              </w:rPr>
              <w:t xml:space="preserve">and AGs </w:t>
            </w:r>
            <w:r w:rsidR="009F2AE6" w:rsidRPr="000B39F3">
              <w:rPr>
                <w:sz w:val="20"/>
                <w:szCs w:val="20"/>
              </w:rPr>
              <w:t>do</w:t>
            </w:r>
            <w:r w:rsidR="00C91C62" w:rsidRPr="000B39F3">
              <w:rPr>
                <w:sz w:val="20"/>
                <w:szCs w:val="20"/>
              </w:rPr>
              <w:t xml:space="preserve"> </w:t>
            </w:r>
            <w:r w:rsidR="009F2AE6" w:rsidRPr="000B39F3">
              <w:rPr>
                <w:sz w:val="20"/>
                <w:szCs w:val="20"/>
              </w:rPr>
              <w:t>n</w:t>
            </w:r>
            <w:r w:rsidR="00FD437E" w:rsidRPr="000B39F3">
              <w:rPr>
                <w:sz w:val="20"/>
                <w:szCs w:val="20"/>
              </w:rPr>
              <w:t>o</w:t>
            </w:r>
            <w:r w:rsidR="009F2AE6" w:rsidRPr="000B39F3">
              <w:rPr>
                <w:sz w:val="20"/>
                <w:szCs w:val="20"/>
              </w:rPr>
              <w:t>t have specialist expertise</w:t>
            </w:r>
          </w:p>
        </w:tc>
        <w:tc>
          <w:tcPr>
            <w:tcW w:w="2464" w:type="dxa"/>
          </w:tcPr>
          <w:p w14:paraId="4F2A70FB" w14:textId="77777777" w:rsidR="009F2AE6" w:rsidRPr="000B39F3" w:rsidRDefault="00FD437E" w:rsidP="00FD437E">
            <w:pPr>
              <w:rPr>
                <w:sz w:val="20"/>
                <w:szCs w:val="20"/>
              </w:rPr>
            </w:pPr>
            <w:r w:rsidRPr="000B39F3">
              <w:rPr>
                <w:sz w:val="20"/>
                <w:szCs w:val="20"/>
              </w:rPr>
              <w:t>B</w:t>
            </w:r>
            <w:r w:rsidR="009F2AE6" w:rsidRPr="000B39F3">
              <w:rPr>
                <w:sz w:val="20"/>
                <w:szCs w:val="20"/>
              </w:rPr>
              <w:t>iographical background (descriptive statistics)</w:t>
            </w:r>
          </w:p>
        </w:tc>
        <w:tc>
          <w:tcPr>
            <w:tcW w:w="2464" w:type="dxa"/>
          </w:tcPr>
          <w:p w14:paraId="2A3D272D" w14:textId="77777777" w:rsidR="009F2AE6" w:rsidRPr="000B39F3" w:rsidRDefault="009F2AE6" w:rsidP="00FD437E">
            <w:pPr>
              <w:rPr>
                <w:sz w:val="20"/>
                <w:szCs w:val="20"/>
              </w:rPr>
            </w:pPr>
            <w:r w:rsidRPr="000B39F3">
              <w:rPr>
                <w:sz w:val="20"/>
                <w:szCs w:val="20"/>
              </w:rPr>
              <w:t>Confirmed: no prior domain expertise</w:t>
            </w:r>
          </w:p>
          <w:p w14:paraId="0714A299" w14:textId="77777777" w:rsidR="00F90D58" w:rsidRPr="000B39F3" w:rsidRDefault="00F90D58" w:rsidP="00FD437E">
            <w:pPr>
              <w:rPr>
                <w:sz w:val="20"/>
                <w:szCs w:val="20"/>
              </w:rPr>
            </w:pPr>
          </w:p>
        </w:tc>
      </w:tr>
      <w:tr w:rsidR="009F2AE6" w:rsidRPr="000B39F3" w14:paraId="3F1E94D2" w14:textId="77777777" w:rsidTr="009F2AE6">
        <w:tc>
          <w:tcPr>
            <w:tcW w:w="2463" w:type="dxa"/>
          </w:tcPr>
          <w:p w14:paraId="68664F1F" w14:textId="77777777" w:rsidR="009F2AE6" w:rsidRPr="000B39F3" w:rsidRDefault="009F2AE6" w:rsidP="00FD437E">
            <w:pPr>
              <w:rPr>
                <w:sz w:val="20"/>
                <w:szCs w:val="20"/>
              </w:rPr>
            </w:pPr>
          </w:p>
        </w:tc>
        <w:tc>
          <w:tcPr>
            <w:tcW w:w="2464" w:type="dxa"/>
          </w:tcPr>
          <w:p w14:paraId="37F64356" w14:textId="77777777" w:rsidR="009F2AE6" w:rsidRPr="000B39F3" w:rsidRDefault="00983FBF" w:rsidP="00FD437E">
            <w:pPr>
              <w:rPr>
                <w:sz w:val="20"/>
                <w:szCs w:val="20"/>
              </w:rPr>
            </w:pPr>
            <w:r w:rsidRPr="000B39F3">
              <w:rPr>
                <w:sz w:val="20"/>
                <w:szCs w:val="20"/>
              </w:rPr>
              <w:t xml:space="preserve">2) </w:t>
            </w:r>
            <w:r w:rsidR="009F2AE6" w:rsidRPr="000B39F3">
              <w:rPr>
                <w:sz w:val="20"/>
                <w:szCs w:val="20"/>
              </w:rPr>
              <w:t>There are no specialist chambers</w:t>
            </w:r>
          </w:p>
        </w:tc>
        <w:tc>
          <w:tcPr>
            <w:tcW w:w="2464" w:type="dxa"/>
          </w:tcPr>
          <w:p w14:paraId="7D82035E" w14:textId="77777777" w:rsidR="009F2AE6" w:rsidRPr="000B39F3" w:rsidRDefault="009F2AE6" w:rsidP="00FD437E">
            <w:pPr>
              <w:rPr>
                <w:sz w:val="20"/>
                <w:szCs w:val="20"/>
              </w:rPr>
            </w:pPr>
            <w:r w:rsidRPr="000B39F3">
              <w:rPr>
                <w:sz w:val="20"/>
                <w:szCs w:val="20"/>
              </w:rPr>
              <w:t>Allocation of cases to Chambers, Reporting Judges and AGs (tested for significance)</w:t>
            </w:r>
          </w:p>
        </w:tc>
        <w:tc>
          <w:tcPr>
            <w:tcW w:w="2464" w:type="dxa"/>
          </w:tcPr>
          <w:p w14:paraId="7FC83823" w14:textId="77777777" w:rsidR="009F2AE6" w:rsidRPr="000B39F3" w:rsidRDefault="006A1AE3" w:rsidP="00FD437E">
            <w:pPr>
              <w:rPr>
                <w:sz w:val="20"/>
                <w:szCs w:val="20"/>
              </w:rPr>
            </w:pPr>
            <w:r w:rsidRPr="000B39F3">
              <w:rPr>
                <w:sz w:val="20"/>
                <w:szCs w:val="20"/>
              </w:rPr>
              <w:t>Rejected</w:t>
            </w:r>
            <w:r w:rsidR="00743964" w:rsidRPr="000B39F3">
              <w:rPr>
                <w:sz w:val="20"/>
                <w:szCs w:val="20"/>
              </w:rPr>
              <w:t>: r</w:t>
            </w:r>
            <w:r w:rsidR="009F2AE6" w:rsidRPr="000B39F3">
              <w:rPr>
                <w:sz w:val="20"/>
                <w:szCs w:val="20"/>
              </w:rPr>
              <w:t>epeat allocat</w:t>
            </w:r>
            <w:r w:rsidR="00743964" w:rsidRPr="000B39F3">
              <w:rPr>
                <w:sz w:val="20"/>
                <w:szCs w:val="20"/>
              </w:rPr>
              <w:t xml:space="preserve">ions can only be explained by </w:t>
            </w:r>
            <w:r w:rsidR="009F2AE6" w:rsidRPr="000B39F3">
              <w:rPr>
                <w:sz w:val="20"/>
                <w:szCs w:val="20"/>
              </w:rPr>
              <w:t>deliberate policy</w:t>
            </w:r>
          </w:p>
        </w:tc>
      </w:tr>
      <w:tr w:rsidR="009F2AE6" w:rsidRPr="000B39F3" w14:paraId="55E2E9FD" w14:textId="77777777" w:rsidTr="009F2AE6">
        <w:tc>
          <w:tcPr>
            <w:tcW w:w="2463" w:type="dxa"/>
          </w:tcPr>
          <w:p w14:paraId="13400ABE" w14:textId="77777777" w:rsidR="009F2AE6" w:rsidRPr="000B39F3" w:rsidRDefault="009F2AE6" w:rsidP="00FD437E">
            <w:pPr>
              <w:rPr>
                <w:sz w:val="20"/>
                <w:szCs w:val="20"/>
              </w:rPr>
            </w:pPr>
          </w:p>
        </w:tc>
        <w:tc>
          <w:tcPr>
            <w:tcW w:w="2464" w:type="dxa"/>
          </w:tcPr>
          <w:p w14:paraId="1AE8D552" w14:textId="77777777" w:rsidR="009F2AE6" w:rsidRPr="000B39F3" w:rsidRDefault="00983FBF" w:rsidP="00FD437E">
            <w:pPr>
              <w:rPr>
                <w:sz w:val="20"/>
                <w:szCs w:val="20"/>
              </w:rPr>
            </w:pPr>
            <w:r w:rsidRPr="000B39F3">
              <w:rPr>
                <w:sz w:val="20"/>
                <w:szCs w:val="20"/>
              </w:rPr>
              <w:t xml:space="preserve">3) </w:t>
            </w:r>
            <w:r w:rsidR="009F2AE6" w:rsidRPr="000B39F3">
              <w:rPr>
                <w:sz w:val="20"/>
                <w:szCs w:val="20"/>
              </w:rPr>
              <w:t>Reasoning is unpredictable</w:t>
            </w:r>
          </w:p>
          <w:p w14:paraId="714C6A67" w14:textId="77777777" w:rsidR="009F2AE6" w:rsidRPr="000B39F3" w:rsidRDefault="009F2AE6" w:rsidP="00FD437E">
            <w:pPr>
              <w:rPr>
                <w:sz w:val="20"/>
                <w:szCs w:val="20"/>
              </w:rPr>
            </w:pPr>
          </w:p>
        </w:tc>
        <w:tc>
          <w:tcPr>
            <w:tcW w:w="2464" w:type="dxa"/>
          </w:tcPr>
          <w:p w14:paraId="1B9AD36D" w14:textId="77777777" w:rsidR="009F2AE6" w:rsidRPr="000B39F3" w:rsidRDefault="009F2AE6" w:rsidP="00FD437E">
            <w:pPr>
              <w:rPr>
                <w:sz w:val="20"/>
                <w:szCs w:val="20"/>
              </w:rPr>
            </w:pPr>
            <w:r w:rsidRPr="000B39F3">
              <w:rPr>
                <w:sz w:val="20"/>
                <w:szCs w:val="20"/>
              </w:rPr>
              <w:t>Content analysis</w:t>
            </w:r>
            <w:r w:rsidR="00983FBF" w:rsidRPr="000B39F3">
              <w:rPr>
                <w:sz w:val="20"/>
                <w:szCs w:val="20"/>
              </w:rPr>
              <w:t>, linking judicial approaches to outcomes</w:t>
            </w:r>
          </w:p>
          <w:p w14:paraId="1DADC68E" w14:textId="77777777" w:rsidR="009F2AE6" w:rsidRPr="000B39F3" w:rsidRDefault="009F2AE6" w:rsidP="00FD437E">
            <w:pPr>
              <w:rPr>
                <w:sz w:val="20"/>
                <w:szCs w:val="20"/>
              </w:rPr>
            </w:pPr>
          </w:p>
        </w:tc>
        <w:tc>
          <w:tcPr>
            <w:tcW w:w="2464" w:type="dxa"/>
          </w:tcPr>
          <w:p w14:paraId="2EA6F3C7" w14:textId="77777777" w:rsidR="009F2AE6" w:rsidRPr="000B39F3" w:rsidRDefault="00983FBF" w:rsidP="00983FBF">
            <w:pPr>
              <w:rPr>
                <w:sz w:val="20"/>
                <w:szCs w:val="20"/>
              </w:rPr>
            </w:pPr>
            <w:r w:rsidRPr="000B39F3">
              <w:rPr>
                <w:sz w:val="20"/>
                <w:szCs w:val="20"/>
              </w:rPr>
              <w:t>C</w:t>
            </w:r>
            <w:r w:rsidR="009F2AE6" w:rsidRPr="000B39F3">
              <w:rPr>
                <w:sz w:val="20"/>
                <w:szCs w:val="20"/>
              </w:rPr>
              <w:t>onfirmed</w:t>
            </w:r>
            <w:r w:rsidRPr="000B39F3">
              <w:rPr>
                <w:sz w:val="20"/>
                <w:szCs w:val="20"/>
              </w:rPr>
              <w:t>, but different approaches</w:t>
            </w:r>
            <w:r w:rsidR="00B36ED8" w:rsidRPr="000B39F3">
              <w:rPr>
                <w:sz w:val="20"/>
                <w:szCs w:val="20"/>
              </w:rPr>
              <w:t xml:space="preserve"> found</w:t>
            </w:r>
            <w:r w:rsidRPr="000B39F3">
              <w:rPr>
                <w:sz w:val="20"/>
                <w:szCs w:val="20"/>
              </w:rPr>
              <w:t xml:space="preserve"> for different judges </w:t>
            </w:r>
            <w:r w:rsidR="009F2AE6" w:rsidRPr="000B39F3">
              <w:rPr>
                <w:sz w:val="20"/>
                <w:szCs w:val="20"/>
              </w:rPr>
              <w:t>(not conclusive</w:t>
            </w:r>
            <w:r w:rsidR="00FD437E" w:rsidRPr="000B39F3">
              <w:rPr>
                <w:sz w:val="20"/>
                <w:szCs w:val="20"/>
              </w:rPr>
              <w:t>: small sample limitation)</w:t>
            </w:r>
          </w:p>
        </w:tc>
      </w:tr>
      <w:tr w:rsidR="009F2AE6" w:rsidRPr="000B39F3" w14:paraId="389B23ED" w14:textId="77777777" w:rsidTr="009F2AE6">
        <w:tc>
          <w:tcPr>
            <w:tcW w:w="2463" w:type="dxa"/>
          </w:tcPr>
          <w:p w14:paraId="7D3780CC" w14:textId="77777777" w:rsidR="009F2AE6" w:rsidRPr="000B39F3" w:rsidRDefault="00FD437E" w:rsidP="00FD437E">
            <w:pPr>
              <w:rPr>
                <w:sz w:val="20"/>
                <w:szCs w:val="20"/>
              </w:rPr>
            </w:pPr>
            <w:r w:rsidRPr="000B39F3">
              <w:rPr>
                <w:sz w:val="20"/>
                <w:szCs w:val="20"/>
              </w:rPr>
              <w:t>ECJ pursues a</w:t>
            </w:r>
            <w:r w:rsidR="009F2AE6" w:rsidRPr="000B39F3">
              <w:rPr>
                <w:sz w:val="20"/>
                <w:szCs w:val="20"/>
              </w:rPr>
              <w:t>ctivist, upwardly harmonising agenda</w:t>
            </w:r>
          </w:p>
        </w:tc>
        <w:tc>
          <w:tcPr>
            <w:tcW w:w="2464" w:type="dxa"/>
          </w:tcPr>
          <w:p w14:paraId="555515E8" w14:textId="77777777" w:rsidR="009F2AE6" w:rsidRPr="000B39F3" w:rsidRDefault="00983FBF" w:rsidP="00FD437E">
            <w:pPr>
              <w:rPr>
                <w:sz w:val="20"/>
                <w:szCs w:val="20"/>
              </w:rPr>
            </w:pPr>
            <w:r w:rsidRPr="000B39F3">
              <w:rPr>
                <w:sz w:val="20"/>
                <w:szCs w:val="20"/>
              </w:rPr>
              <w:t xml:space="preserve">1) </w:t>
            </w:r>
            <w:r w:rsidR="00ED1761" w:rsidRPr="000B39F3">
              <w:rPr>
                <w:sz w:val="20"/>
                <w:szCs w:val="20"/>
              </w:rPr>
              <w:t>There is a p</w:t>
            </w:r>
            <w:r w:rsidR="009F2AE6" w:rsidRPr="000B39F3">
              <w:rPr>
                <w:sz w:val="20"/>
                <w:szCs w:val="20"/>
              </w:rPr>
              <w:t xml:space="preserve">revalence of teleological </w:t>
            </w:r>
            <w:r w:rsidR="009F2AE6" w:rsidRPr="000B39F3">
              <w:rPr>
                <w:i/>
                <w:sz w:val="20"/>
                <w:szCs w:val="20"/>
              </w:rPr>
              <w:t>topoi</w:t>
            </w:r>
          </w:p>
        </w:tc>
        <w:tc>
          <w:tcPr>
            <w:tcW w:w="2464" w:type="dxa"/>
          </w:tcPr>
          <w:p w14:paraId="3C36529A" w14:textId="77777777" w:rsidR="00983FBF" w:rsidRPr="000B39F3" w:rsidRDefault="00983FBF" w:rsidP="00983FBF">
            <w:pPr>
              <w:rPr>
                <w:sz w:val="20"/>
                <w:szCs w:val="20"/>
              </w:rPr>
            </w:pPr>
            <w:r w:rsidRPr="000B39F3">
              <w:rPr>
                <w:sz w:val="20"/>
                <w:szCs w:val="20"/>
              </w:rPr>
              <w:t>Content analysis, identifying patterns of reasoning</w:t>
            </w:r>
          </w:p>
          <w:p w14:paraId="0B0BB850" w14:textId="77777777" w:rsidR="009F2AE6" w:rsidRPr="000B39F3" w:rsidRDefault="009F2AE6" w:rsidP="00FD437E">
            <w:pPr>
              <w:rPr>
                <w:sz w:val="20"/>
                <w:szCs w:val="20"/>
              </w:rPr>
            </w:pPr>
          </w:p>
        </w:tc>
        <w:tc>
          <w:tcPr>
            <w:tcW w:w="2464" w:type="dxa"/>
          </w:tcPr>
          <w:p w14:paraId="5BAA8AC9" w14:textId="77777777" w:rsidR="009F2AE6" w:rsidRPr="000B39F3" w:rsidRDefault="00FD437E" w:rsidP="00FD437E">
            <w:pPr>
              <w:rPr>
                <w:sz w:val="20"/>
                <w:szCs w:val="20"/>
              </w:rPr>
            </w:pPr>
            <w:r w:rsidRPr="000B39F3">
              <w:rPr>
                <w:sz w:val="20"/>
                <w:szCs w:val="20"/>
              </w:rPr>
              <w:t xml:space="preserve">Confirmed, but complex pattern of </w:t>
            </w:r>
            <w:proofErr w:type="spellStart"/>
            <w:r w:rsidRPr="000B39F3">
              <w:rPr>
                <w:sz w:val="20"/>
                <w:szCs w:val="20"/>
              </w:rPr>
              <w:t>cumulation</w:t>
            </w:r>
            <w:proofErr w:type="spellEnd"/>
            <w:r w:rsidR="00EA5A1B" w:rsidRPr="000B39F3">
              <w:rPr>
                <w:sz w:val="20"/>
                <w:szCs w:val="20"/>
              </w:rPr>
              <w:t>, often combin</w:t>
            </w:r>
            <w:r w:rsidR="00FD791E" w:rsidRPr="000B39F3">
              <w:rPr>
                <w:sz w:val="20"/>
                <w:szCs w:val="20"/>
              </w:rPr>
              <w:t>in</w:t>
            </w:r>
            <w:r w:rsidR="00EA5A1B" w:rsidRPr="000B39F3">
              <w:rPr>
                <w:sz w:val="20"/>
                <w:szCs w:val="20"/>
              </w:rPr>
              <w:t>g teleological, systematic and semantic</w:t>
            </w:r>
          </w:p>
        </w:tc>
      </w:tr>
      <w:tr w:rsidR="009F2AE6" w:rsidRPr="000B39F3" w14:paraId="028B025C" w14:textId="77777777" w:rsidTr="009F2AE6">
        <w:tc>
          <w:tcPr>
            <w:tcW w:w="2463" w:type="dxa"/>
          </w:tcPr>
          <w:p w14:paraId="32BE0BF2" w14:textId="77777777" w:rsidR="009F2AE6" w:rsidRPr="000B39F3" w:rsidRDefault="009F2AE6" w:rsidP="00FD437E">
            <w:pPr>
              <w:rPr>
                <w:sz w:val="20"/>
                <w:szCs w:val="20"/>
              </w:rPr>
            </w:pPr>
          </w:p>
        </w:tc>
        <w:tc>
          <w:tcPr>
            <w:tcW w:w="2464" w:type="dxa"/>
          </w:tcPr>
          <w:p w14:paraId="3FDD1C61" w14:textId="0C4540BD" w:rsidR="009F2AE6" w:rsidRPr="000B39F3" w:rsidRDefault="00983FBF" w:rsidP="00FD437E">
            <w:pPr>
              <w:rPr>
                <w:sz w:val="20"/>
                <w:szCs w:val="20"/>
              </w:rPr>
            </w:pPr>
            <w:r w:rsidRPr="000B39F3">
              <w:rPr>
                <w:sz w:val="20"/>
                <w:szCs w:val="20"/>
              </w:rPr>
              <w:t xml:space="preserve">2) </w:t>
            </w:r>
            <w:r w:rsidR="00FD437E" w:rsidRPr="000B39F3">
              <w:rPr>
                <w:sz w:val="20"/>
                <w:szCs w:val="20"/>
              </w:rPr>
              <w:t xml:space="preserve">Outcome of </w:t>
            </w:r>
            <w:r w:rsidR="00EF4A18" w:rsidRPr="000B39F3">
              <w:rPr>
                <w:sz w:val="20"/>
                <w:szCs w:val="20"/>
              </w:rPr>
              <w:t>judgment</w:t>
            </w:r>
            <w:r w:rsidR="00FD437E" w:rsidRPr="000B39F3">
              <w:rPr>
                <w:sz w:val="20"/>
                <w:szCs w:val="20"/>
              </w:rPr>
              <w:t>s expand copyright protection</w:t>
            </w:r>
          </w:p>
        </w:tc>
        <w:tc>
          <w:tcPr>
            <w:tcW w:w="2464" w:type="dxa"/>
          </w:tcPr>
          <w:p w14:paraId="20968A6F" w14:textId="77777777" w:rsidR="009F2AE6" w:rsidRPr="000B39F3" w:rsidRDefault="00FD437E" w:rsidP="00FD437E">
            <w:pPr>
              <w:rPr>
                <w:sz w:val="20"/>
                <w:szCs w:val="20"/>
              </w:rPr>
            </w:pPr>
            <w:r w:rsidRPr="000B39F3">
              <w:rPr>
                <w:sz w:val="20"/>
                <w:szCs w:val="20"/>
              </w:rPr>
              <w:t>Content analysis</w:t>
            </w:r>
            <w:r w:rsidR="00983FBF" w:rsidRPr="000B39F3">
              <w:rPr>
                <w:sz w:val="20"/>
                <w:szCs w:val="20"/>
              </w:rPr>
              <w:t xml:space="preserve"> of outcomes</w:t>
            </w:r>
          </w:p>
        </w:tc>
        <w:tc>
          <w:tcPr>
            <w:tcW w:w="2464" w:type="dxa"/>
          </w:tcPr>
          <w:p w14:paraId="4A498BF5" w14:textId="77777777" w:rsidR="009F2AE6" w:rsidRPr="000B39F3" w:rsidRDefault="006A1AE3" w:rsidP="00FD437E">
            <w:pPr>
              <w:rPr>
                <w:sz w:val="20"/>
                <w:szCs w:val="20"/>
              </w:rPr>
            </w:pPr>
            <w:r w:rsidRPr="000B39F3">
              <w:rPr>
                <w:sz w:val="20"/>
                <w:szCs w:val="20"/>
              </w:rPr>
              <w:t>Rejected</w:t>
            </w:r>
          </w:p>
        </w:tc>
      </w:tr>
    </w:tbl>
    <w:p w14:paraId="29E63A6C" w14:textId="375C46E8" w:rsidR="00FD437E" w:rsidRPr="000B39F3" w:rsidRDefault="00FD437E" w:rsidP="00FD437E">
      <w:pPr>
        <w:pStyle w:val="Caption"/>
        <w:jc w:val="center"/>
      </w:pPr>
      <w:r w:rsidRPr="000B39F3">
        <w:t xml:space="preserve">Table </w:t>
      </w:r>
      <w:r w:rsidR="00096DAD">
        <w:t>1</w:t>
      </w:r>
      <w:r w:rsidRPr="000B39F3">
        <w:rPr>
          <w:noProof/>
        </w:rPr>
        <w:t xml:space="preserve"> –</w:t>
      </w:r>
      <w:r w:rsidRPr="000B39F3">
        <w:t xml:space="preserve"> Hypotheses, Measures, Data and Findings</w:t>
      </w:r>
    </w:p>
    <w:p w14:paraId="005C0128" w14:textId="77777777" w:rsidR="00FD437E" w:rsidRPr="000B39F3" w:rsidRDefault="00FD437E" w:rsidP="00EB09DC"/>
    <w:p w14:paraId="64A4FD52" w14:textId="3B8D8813" w:rsidR="00F30524" w:rsidRPr="000B39F3" w:rsidRDefault="005C5ADE" w:rsidP="00F30524">
      <w:pPr>
        <w:jc w:val="both"/>
      </w:pPr>
      <w:r w:rsidRPr="000B39F3">
        <w:t xml:space="preserve">In answer to the question posed in the title of this </w:t>
      </w:r>
      <w:r w:rsidR="00F30524" w:rsidRPr="000B39F3">
        <w:t>article</w:t>
      </w:r>
      <w:r w:rsidRPr="000B39F3">
        <w:t>, ‘Is there a EU copyright jurisprudence?’ our find</w:t>
      </w:r>
      <w:r w:rsidR="00EA5A1B" w:rsidRPr="000B39F3">
        <w:t xml:space="preserve">ings paint an </w:t>
      </w:r>
      <w:r w:rsidR="00F30524" w:rsidRPr="000B39F3">
        <w:t>intriguing</w:t>
      </w:r>
      <w:r w:rsidR="00EA5A1B" w:rsidRPr="000B39F3">
        <w:t xml:space="preserve"> picture</w:t>
      </w:r>
      <w:r w:rsidRPr="000B39F3">
        <w:t xml:space="preserve">. We have identified </w:t>
      </w:r>
      <w:r w:rsidR="00EA5A1B" w:rsidRPr="000B39F3">
        <w:t xml:space="preserve">attempts to create in effect specialist chambers, and we found </w:t>
      </w:r>
      <w:r w:rsidRPr="000B39F3">
        <w:t>recurrent patterns of reasoning, but outcomes from that reasoning</w:t>
      </w:r>
      <w:r w:rsidR="00C91C62" w:rsidRPr="000B39F3">
        <w:t xml:space="preserve"> </w:t>
      </w:r>
      <w:r w:rsidR="00EA5A1B" w:rsidRPr="000B39F3">
        <w:t>remain unpredictable</w:t>
      </w:r>
      <w:r w:rsidRPr="000B39F3">
        <w:t>, more so for the less ex</w:t>
      </w:r>
      <w:r w:rsidR="00EA5A1B" w:rsidRPr="000B39F3">
        <w:t>perienced members of the Court.</w:t>
      </w:r>
      <w:r w:rsidR="00C91C62" w:rsidRPr="000B39F3">
        <w:t xml:space="preserve"> </w:t>
      </w:r>
      <w:r w:rsidR="00F30524" w:rsidRPr="000B39F3">
        <w:t>So the empirical analysis seems to suggest that while the Court’s jurisprudence is in better shape than critiques suggest, much could be done to improve its legitimacy.</w:t>
      </w:r>
    </w:p>
    <w:p w14:paraId="7BC27AD1" w14:textId="09B1D9B2" w:rsidR="00FD4AC7" w:rsidRPr="000B39F3" w:rsidRDefault="00C74F1A" w:rsidP="00F30524">
      <w:pPr>
        <w:jc w:val="both"/>
      </w:pPr>
      <w:r w:rsidRPr="000B39F3">
        <w:t>Having diagnosed the state</w:t>
      </w:r>
      <w:r w:rsidR="003C568B">
        <w:t xml:space="preserve"> of </w:t>
      </w:r>
      <w:r w:rsidRPr="000B39F3">
        <w:t xml:space="preserve">copyright </w:t>
      </w:r>
      <w:r w:rsidR="003C568B">
        <w:t>related judicial reasoning at the ECJ</w:t>
      </w:r>
      <w:r w:rsidRPr="000B39F3">
        <w:t xml:space="preserve">, what </w:t>
      </w:r>
      <w:r w:rsidR="005C5ADE" w:rsidRPr="000B39F3">
        <w:t xml:space="preserve">policy </w:t>
      </w:r>
      <w:r w:rsidRPr="000B39F3">
        <w:t>interventions</w:t>
      </w:r>
      <w:r w:rsidR="005C5ADE" w:rsidRPr="000B39F3">
        <w:t xml:space="preserve"> </w:t>
      </w:r>
      <w:r w:rsidR="00FD4AC7" w:rsidRPr="000B39F3">
        <w:t>would assist the Court to form a</w:t>
      </w:r>
      <w:r w:rsidR="005C5ADE" w:rsidRPr="000B39F3">
        <w:t xml:space="preserve"> more c</w:t>
      </w:r>
      <w:r w:rsidRPr="000B39F3">
        <w:t>oherent copyright jurisprudence?</w:t>
      </w:r>
      <w:r w:rsidR="005C5ADE" w:rsidRPr="000B39F3">
        <w:t xml:space="preserve"> The most straightforward solution might introduce specialised (copyright or intellectual property) professionals in</w:t>
      </w:r>
      <w:r w:rsidR="00807A8C" w:rsidRPr="000B39F3">
        <w:t xml:space="preserve">to the European Court system </w:t>
      </w:r>
      <w:r w:rsidR="00A44AD5" w:rsidRPr="000B39F3">
        <w:t>in order to increase</w:t>
      </w:r>
      <w:r w:rsidR="00C91C62" w:rsidRPr="000B39F3">
        <w:t xml:space="preserve"> </w:t>
      </w:r>
      <w:r w:rsidR="00A44AD5" w:rsidRPr="000B39F3">
        <w:t>domain competence</w:t>
      </w:r>
      <w:r w:rsidR="005C5ADE" w:rsidRPr="000B39F3">
        <w:t xml:space="preserve"> and predictability. Short of forming a specialist Court, interventions might include (</w:t>
      </w:r>
      <w:proofErr w:type="spellStart"/>
      <w:r w:rsidR="005C5ADE" w:rsidRPr="000B39F3">
        <w:t>i</w:t>
      </w:r>
      <w:proofErr w:type="spellEnd"/>
      <w:r w:rsidR="005C5ADE" w:rsidRPr="000B39F3">
        <w:t xml:space="preserve">) reforming the rules of procedure by making criteria for the assignment of cases more explicit (enabling the systematic allocation of cases to certain chambers where new members </w:t>
      </w:r>
      <w:r w:rsidR="00743964" w:rsidRPr="000B39F3">
        <w:t xml:space="preserve">might </w:t>
      </w:r>
      <w:r w:rsidR="005C5ADE" w:rsidRPr="000B39F3">
        <w:t xml:space="preserve">shadow reporting judges that have developed domain specific experience), and (ii) supporting judicial learning when members first join the Court (for example through training of </w:t>
      </w:r>
      <w:proofErr w:type="spellStart"/>
      <w:r w:rsidR="005C5ADE" w:rsidRPr="000B39F3">
        <w:rPr>
          <w:i/>
        </w:rPr>
        <w:t>référendaires</w:t>
      </w:r>
      <w:proofErr w:type="spellEnd"/>
      <w:r w:rsidR="00660A06" w:rsidRPr="000B39F3">
        <w:t xml:space="preserve"> in specialist domains</w:t>
      </w:r>
      <w:r w:rsidR="00F30524" w:rsidRPr="000B39F3">
        <w:t>).</w:t>
      </w:r>
      <w:r w:rsidRPr="000B39F3">
        <w:t xml:space="preserve"> </w:t>
      </w:r>
      <w:r w:rsidR="00F9677A" w:rsidRPr="000B39F3">
        <w:t>Exploring such options seriously</w:t>
      </w:r>
      <w:r w:rsidR="00FD4AC7" w:rsidRPr="000B39F3">
        <w:t xml:space="preserve"> </w:t>
      </w:r>
      <w:r w:rsidR="00F9677A" w:rsidRPr="000B39F3">
        <w:t xml:space="preserve">would require </w:t>
      </w:r>
      <w:r w:rsidR="004D68C3" w:rsidRPr="000B39F3">
        <w:t>the Court (</w:t>
      </w:r>
      <w:r w:rsidR="00F9677A" w:rsidRPr="000B39F3">
        <w:t xml:space="preserve">and the European institutions that invented </w:t>
      </w:r>
      <w:r w:rsidR="00C00BB6" w:rsidRPr="000B39F3">
        <w:t>its governance</w:t>
      </w:r>
      <w:r w:rsidR="004D68C3" w:rsidRPr="000B39F3">
        <w:t>)</w:t>
      </w:r>
      <w:r w:rsidR="00F9677A" w:rsidRPr="000B39F3">
        <w:t xml:space="preserve"> to look in the mirror, hold the gaze and recognise what they see</w:t>
      </w:r>
      <w:r w:rsidR="00FD4AC7" w:rsidRPr="000B39F3">
        <w:t>.</w:t>
      </w:r>
      <w:r w:rsidR="00F9677A" w:rsidRPr="000B39F3">
        <w:t xml:space="preserve"> Empirical </w:t>
      </w:r>
      <w:r w:rsidR="00A41EC4" w:rsidRPr="000B39F3">
        <w:t>reflection</w:t>
      </w:r>
      <w:r w:rsidR="00F9677A" w:rsidRPr="000B39F3">
        <w:t xml:space="preserve"> may </w:t>
      </w:r>
      <w:r w:rsidR="00B23EAB" w:rsidRPr="000B39F3">
        <w:t>yet</w:t>
      </w:r>
      <w:r w:rsidR="00F9677A" w:rsidRPr="000B39F3">
        <w:t xml:space="preserve"> improve doctrine.</w:t>
      </w:r>
    </w:p>
    <w:p w14:paraId="6F4777CE" w14:textId="41B93552" w:rsidR="009E024B" w:rsidRPr="009E024B" w:rsidRDefault="00C74F1A" w:rsidP="00F30524">
      <w:pPr>
        <w:jc w:val="both"/>
        <w:rPr>
          <w:rFonts w:ascii="Arial" w:hAnsi="Arial"/>
          <w:b/>
          <w:bCs/>
          <w:sz w:val="26"/>
          <w:szCs w:val="26"/>
        </w:rPr>
      </w:pPr>
      <w:r w:rsidRPr="000B39F3">
        <w:t xml:space="preserve"> </w:t>
      </w:r>
      <w:r w:rsidR="001C5915" w:rsidRPr="000B39F3">
        <w:rPr>
          <w:rFonts w:ascii="Arial" w:hAnsi="Arial"/>
          <w:b/>
          <w:bCs/>
          <w:sz w:val="26"/>
          <w:szCs w:val="26"/>
        </w:rPr>
        <w:br w:type="page"/>
      </w:r>
    </w:p>
    <w:p w14:paraId="4B163FA2" w14:textId="77777777" w:rsidR="001145E8" w:rsidRPr="000B39F3" w:rsidRDefault="008104D0" w:rsidP="001145E8">
      <w:pPr>
        <w:rPr>
          <w:rFonts w:ascii="Arial" w:hAnsi="Arial"/>
          <w:b/>
          <w:bCs/>
          <w:sz w:val="26"/>
          <w:szCs w:val="26"/>
        </w:rPr>
      </w:pPr>
      <w:r w:rsidRPr="000B39F3">
        <w:rPr>
          <w:rFonts w:ascii="Arial" w:hAnsi="Arial"/>
          <w:b/>
          <w:bCs/>
          <w:sz w:val="26"/>
          <w:szCs w:val="26"/>
        </w:rPr>
        <w:lastRenderedPageBreak/>
        <w:t>APPENDIX I – Sample of Cases</w:t>
      </w:r>
      <w:r w:rsidR="00FC37A0" w:rsidRPr="000B39F3">
        <w:rPr>
          <w:noProof/>
          <w:lang w:val="en-US" w:eastAsia="en-US"/>
        </w:rPr>
        <w:drawing>
          <wp:inline distT="0" distB="0" distL="0" distR="0" wp14:anchorId="7C7AA757" wp14:editId="0872B795">
            <wp:extent cx="5918200" cy="8689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835" cy="8690272"/>
                    </a:xfrm>
                    <a:prstGeom prst="rect">
                      <a:avLst/>
                    </a:prstGeom>
                    <a:noFill/>
                    <a:ln>
                      <a:noFill/>
                    </a:ln>
                  </pic:spPr>
                </pic:pic>
              </a:graphicData>
            </a:graphic>
          </wp:inline>
        </w:drawing>
      </w:r>
    </w:p>
    <w:p w14:paraId="3A9D88EC" w14:textId="77777777" w:rsidR="009E024B" w:rsidRDefault="009E024B">
      <w:pPr>
        <w:spacing w:line="276" w:lineRule="auto"/>
        <w:rPr>
          <w:rFonts w:ascii="Arial" w:hAnsi="Arial"/>
          <w:b/>
          <w:bCs/>
          <w:sz w:val="26"/>
          <w:szCs w:val="26"/>
        </w:rPr>
      </w:pPr>
      <w:r>
        <w:rPr>
          <w:rFonts w:ascii="Arial" w:hAnsi="Arial"/>
          <w:b/>
          <w:bCs/>
          <w:sz w:val="26"/>
          <w:szCs w:val="26"/>
        </w:rPr>
        <w:br w:type="page"/>
      </w:r>
    </w:p>
    <w:p w14:paraId="2F940DF5" w14:textId="23096612" w:rsidR="00200585" w:rsidRPr="000B39F3" w:rsidRDefault="001076CF" w:rsidP="001145E8">
      <w:pPr>
        <w:rPr>
          <w:rFonts w:ascii="Arial" w:hAnsi="Arial"/>
          <w:b/>
          <w:bCs/>
          <w:sz w:val="26"/>
          <w:szCs w:val="26"/>
        </w:rPr>
      </w:pPr>
      <w:r w:rsidRPr="000B39F3">
        <w:rPr>
          <w:rFonts w:ascii="Arial" w:hAnsi="Arial"/>
          <w:b/>
          <w:bCs/>
          <w:sz w:val="26"/>
          <w:szCs w:val="26"/>
        </w:rPr>
        <w:lastRenderedPageBreak/>
        <w:t>APPENDIX I</w:t>
      </w:r>
      <w:r w:rsidR="00C73F7D" w:rsidRPr="000B39F3">
        <w:rPr>
          <w:rFonts w:ascii="Arial" w:hAnsi="Arial"/>
          <w:b/>
          <w:bCs/>
          <w:sz w:val="26"/>
          <w:szCs w:val="26"/>
        </w:rPr>
        <w:t>I</w:t>
      </w:r>
      <w:r w:rsidRPr="000B39F3">
        <w:rPr>
          <w:rFonts w:ascii="Arial" w:hAnsi="Arial"/>
          <w:b/>
          <w:bCs/>
          <w:sz w:val="26"/>
          <w:szCs w:val="26"/>
        </w:rPr>
        <w:t>– Codebook</w:t>
      </w:r>
      <w:r w:rsidR="00E05B01">
        <w:rPr>
          <w:rFonts w:ascii="Arial" w:hAnsi="Arial"/>
          <w:b/>
          <w:bCs/>
          <w:sz w:val="26"/>
          <w:szCs w:val="26"/>
        </w:rPr>
        <w:t xml:space="preserve"> </w:t>
      </w:r>
      <w:r w:rsidR="001A0AFB" w:rsidRPr="000B39F3">
        <w:rPr>
          <w:rFonts w:ascii="Arial" w:hAnsi="Arial"/>
          <w:b/>
          <w:bCs/>
          <w:sz w:val="26"/>
          <w:szCs w:val="26"/>
        </w:rPr>
        <w:t>excerpt</w:t>
      </w:r>
    </w:p>
    <w:p w14:paraId="5DE83D41" w14:textId="77777777" w:rsidR="001145E8" w:rsidRPr="000B39F3" w:rsidRDefault="001145E8" w:rsidP="001145E8">
      <w:pPr>
        <w:rPr>
          <w:rFonts w:ascii="Arial" w:hAnsi="Arial"/>
        </w:rPr>
      </w:pPr>
      <w:r w:rsidRPr="000B39F3">
        <w:rPr>
          <w:rFonts w:ascii="Arial" w:hAnsi="Arial"/>
          <w:b/>
          <w:bCs/>
          <w:i/>
          <w:iCs/>
        </w:rPr>
        <w:t>List</w:t>
      </w:r>
      <w:r w:rsidR="001076CF" w:rsidRPr="000B39F3">
        <w:rPr>
          <w:rFonts w:ascii="Arial" w:hAnsi="Arial"/>
          <w:b/>
          <w:bCs/>
          <w:i/>
          <w:iCs/>
        </w:rPr>
        <w:t xml:space="preserve"> of codes used for content analysis</w:t>
      </w:r>
    </w:p>
    <w:p w14:paraId="3182CADE" w14:textId="77777777" w:rsidR="00582368" w:rsidRPr="000B39F3" w:rsidRDefault="001145E8" w:rsidP="00DC4FB6">
      <w:pPr>
        <w:pStyle w:val="ListParagraph"/>
        <w:numPr>
          <w:ilvl w:val="0"/>
          <w:numId w:val="19"/>
        </w:numPr>
      </w:pPr>
      <w:proofErr w:type="gramStart"/>
      <w:r w:rsidRPr="000B39F3">
        <w:rPr>
          <w:i/>
          <w:iCs/>
        </w:rPr>
        <w:t>broad</w:t>
      </w:r>
      <w:proofErr w:type="gramEnd"/>
      <w:r w:rsidRPr="000B39F3">
        <w:rPr>
          <w:i/>
          <w:iCs/>
        </w:rPr>
        <w:t xml:space="preserve"> concept</w:t>
      </w:r>
      <w:r w:rsidRPr="000B39F3">
        <w:t>: broad interpretation of the main concept or issue that the court is called to interpret or define</w:t>
      </w:r>
    </w:p>
    <w:p w14:paraId="01AD81D7" w14:textId="77777777" w:rsidR="00582368" w:rsidRPr="000B39F3" w:rsidRDefault="001145E8" w:rsidP="00DC4FB6">
      <w:pPr>
        <w:pStyle w:val="ListParagraph"/>
        <w:numPr>
          <w:ilvl w:val="0"/>
          <w:numId w:val="19"/>
        </w:numPr>
      </w:pPr>
      <w:proofErr w:type="gramStart"/>
      <w:r w:rsidRPr="000B39F3">
        <w:rPr>
          <w:i/>
          <w:iCs/>
        </w:rPr>
        <w:t>narrow</w:t>
      </w:r>
      <w:proofErr w:type="gramEnd"/>
      <w:r w:rsidRPr="000B39F3">
        <w:rPr>
          <w:i/>
          <w:iCs/>
        </w:rPr>
        <w:t xml:space="preserve"> concept</w:t>
      </w:r>
      <w:r w:rsidRPr="000B39F3">
        <w:t>: a narrow interpretation of the main concept or issue that the court is called to interpret or define</w:t>
      </w:r>
    </w:p>
    <w:p w14:paraId="785ACAC0" w14:textId="77777777" w:rsidR="00582368" w:rsidRPr="000B39F3" w:rsidRDefault="00F61D8A" w:rsidP="00DC4FB6">
      <w:pPr>
        <w:pStyle w:val="ListParagraph"/>
        <w:numPr>
          <w:ilvl w:val="0"/>
          <w:numId w:val="19"/>
        </w:numPr>
      </w:pPr>
      <w:proofErr w:type="gramStart"/>
      <w:r w:rsidRPr="000B39F3">
        <w:rPr>
          <w:i/>
          <w:iCs/>
        </w:rPr>
        <w:t>outcome</w:t>
      </w:r>
      <w:proofErr w:type="gramEnd"/>
      <w:r w:rsidRPr="000B39F3">
        <w:rPr>
          <w:i/>
          <w:iCs/>
        </w:rPr>
        <w:t>:</w:t>
      </w:r>
      <w:r w:rsidRPr="000B39F3">
        <w:rPr>
          <w:iCs/>
        </w:rPr>
        <w:t xml:space="preserve"> is the outcome of</w:t>
      </w:r>
      <w:r w:rsidR="00582368" w:rsidRPr="000B39F3">
        <w:rPr>
          <w:iCs/>
        </w:rPr>
        <w:t xml:space="preserve"> the judgment favourable to </w:t>
      </w:r>
      <w:r w:rsidRPr="000B39F3">
        <w:rPr>
          <w:iCs/>
        </w:rPr>
        <w:t xml:space="preserve">right holders or </w:t>
      </w:r>
      <w:r w:rsidR="00582368" w:rsidRPr="000B39F3">
        <w:rPr>
          <w:iCs/>
        </w:rPr>
        <w:t>not</w:t>
      </w:r>
      <w:r w:rsidRPr="000B39F3">
        <w:rPr>
          <w:iCs/>
        </w:rPr>
        <w:t>?</w:t>
      </w:r>
    </w:p>
    <w:p w14:paraId="4E212A0D" w14:textId="77777777" w:rsidR="00A40D42" w:rsidRPr="000B39F3" w:rsidRDefault="00A40D42" w:rsidP="00A40D42">
      <w:pPr>
        <w:pStyle w:val="ListParagraph"/>
      </w:pPr>
    </w:p>
    <w:p w14:paraId="695720B1" w14:textId="77777777" w:rsidR="00DC4FB6" w:rsidRPr="000B39F3" w:rsidRDefault="001076CF" w:rsidP="00E05B01">
      <w:proofErr w:type="gramStart"/>
      <w:r w:rsidRPr="000B39F3">
        <w:t>semantic</w:t>
      </w:r>
      <w:proofErr w:type="gramEnd"/>
      <w:r w:rsidR="001145E8" w:rsidRPr="000B39F3">
        <w:t xml:space="preserve">: </w:t>
      </w:r>
    </w:p>
    <w:p w14:paraId="4E8E1CB0" w14:textId="3D595550" w:rsidR="00582368" w:rsidRPr="000B39F3" w:rsidRDefault="001145E8" w:rsidP="00E05B01">
      <w:pPr>
        <w:pStyle w:val="ListParagraph"/>
        <w:numPr>
          <w:ilvl w:val="0"/>
          <w:numId w:val="25"/>
        </w:numPr>
      </w:pPr>
      <w:proofErr w:type="gramStart"/>
      <w:r w:rsidRPr="000B39F3">
        <w:t>text</w:t>
      </w:r>
      <w:proofErr w:type="gramEnd"/>
      <w:r w:rsidRPr="000B39F3">
        <w:t xml:space="preserve"> of the law interpreted according to its wording. This </w:t>
      </w:r>
      <w:r w:rsidR="00EA5AF5" w:rsidRPr="000B39F3">
        <w:t>may</w:t>
      </w:r>
      <w:r w:rsidRPr="000B39F3">
        <w:t xml:space="preserve"> also </w:t>
      </w:r>
      <w:r w:rsidR="00EA5AF5" w:rsidRPr="000B39F3">
        <w:t xml:space="preserve">include </w:t>
      </w:r>
      <w:r w:rsidR="0026246A" w:rsidRPr="000B39F3">
        <w:t>the context of the wording, drawing</w:t>
      </w:r>
      <w:r w:rsidRPr="000B39F3">
        <w:t xml:space="preserve"> for example </w:t>
      </w:r>
      <w:r w:rsidR="0026246A" w:rsidRPr="000B39F3">
        <w:t xml:space="preserve">on </w:t>
      </w:r>
      <w:r w:rsidRPr="000B39F3">
        <w:t>the recitals of a</w:t>
      </w:r>
      <w:r w:rsidR="00EA5AF5" w:rsidRPr="000B39F3">
        <w:t xml:space="preserve"> directive.</w:t>
      </w:r>
      <w:r w:rsidR="00B3250E" w:rsidRPr="000B39F3">
        <w:t xml:space="preserve"> </w:t>
      </w:r>
      <w:r w:rsidR="00EA5AF5" w:rsidRPr="000B39F3">
        <w:t>‘C</w:t>
      </w:r>
      <w:r w:rsidR="001076CF" w:rsidRPr="000B39F3">
        <w:t>ontext</w:t>
      </w:r>
      <w:r w:rsidR="00EA5AF5" w:rsidRPr="000B39F3">
        <w:t>’</w:t>
      </w:r>
      <w:r w:rsidR="00B3250E" w:rsidRPr="000B39F3">
        <w:t xml:space="preserve"> </w:t>
      </w:r>
      <w:r w:rsidR="0026246A" w:rsidRPr="000B39F3">
        <w:t xml:space="preserve">here </w:t>
      </w:r>
      <w:r w:rsidRPr="000B39F3">
        <w:t>is still related to the textual analysis, whereas a larger contextuali</w:t>
      </w:r>
      <w:r w:rsidR="00975314" w:rsidRPr="000B39F3">
        <w:t>s</w:t>
      </w:r>
      <w:r w:rsidRPr="000B39F3">
        <w:t>ation of the norm would involve historic</w:t>
      </w:r>
      <w:r w:rsidR="001076CF" w:rsidRPr="000B39F3">
        <w:t>al or economic</w:t>
      </w:r>
      <w:r w:rsidRPr="000B39F3">
        <w:t xml:space="preserve"> considerations. </w:t>
      </w:r>
      <w:r w:rsidR="0026246A" w:rsidRPr="000B39F3">
        <w:t>I</w:t>
      </w:r>
      <w:r w:rsidR="00EA5AF5" w:rsidRPr="000B39F3">
        <w:t>f recitals are cited for objectives</w:t>
      </w:r>
      <w:r w:rsidR="0026246A" w:rsidRPr="000B39F3">
        <w:t>, the coding is as teleological</w:t>
      </w:r>
      <w:r w:rsidR="00EA5AF5" w:rsidRPr="000B39F3">
        <w:t>.</w:t>
      </w:r>
    </w:p>
    <w:p w14:paraId="3CEF657A" w14:textId="77777777" w:rsidR="001145E8" w:rsidRPr="000B39F3" w:rsidRDefault="002859E4" w:rsidP="00E05B01">
      <w:proofErr w:type="gramStart"/>
      <w:r w:rsidRPr="000B39F3">
        <w:t>s</w:t>
      </w:r>
      <w:r w:rsidR="00EA5AF5" w:rsidRPr="000B39F3">
        <w:t>ystematic</w:t>
      </w:r>
      <w:proofErr w:type="gramEnd"/>
      <w:r w:rsidRPr="000B39F3">
        <w:t>/contextual</w:t>
      </w:r>
      <w:r w:rsidR="001145E8" w:rsidRPr="000B39F3">
        <w:t>:</w:t>
      </w:r>
    </w:p>
    <w:p w14:paraId="4714D57B" w14:textId="77777777" w:rsidR="001145E8" w:rsidRPr="000B39F3" w:rsidRDefault="001145E8" w:rsidP="00E05B01">
      <w:pPr>
        <w:pStyle w:val="ListParagraph"/>
        <w:numPr>
          <w:ilvl w:val="0"/>
          <w:numId w:val="26"/>
        </w:numPr>
      </w:pPr>
      <w:proofErr w:type="gramStart"/>
      <w:r w:rsidRPr="000B39F3">
        <w:t>interpretation</w:t>
      </w:r>
      <w:proofErr w:type="gramEnd"/>
      <w:r w:rsidRPr="000B39F3">
        <w:t xml:space="preserve"> in light of international treaties</w:t>
      </w:r>
    </w:p>
    <w:p w14:paraId="054EB990" w14:textId="77777777" w:rsidR="001145E8" w:rsidRPr="000B39F3" w:rsidRDefault="001145E8" w:rsidP="00E05B01">
      <w:pPr>
        <w:pStyle w:val="ListParagraph"/>
        <w:numPr>
          <w:ilvl w:val="0"/>
          <w:numId w:val="26"/>
        </w:numPr>
      </w:pPr>
      <w:proofErr w:type="gramStart"/>
      <w:r w:rsidRPr="000B39F3">
        <w:t>historical</w:t>
      </w:r>
      <w:proofErr w:type="gramEnd"/>
      <w:r w:rsidRPr="000B39F3">
        <w:t xml:space="preserve"> (legislative history of the legal text)</w:t>
      </w:r>
    </w:p>
    <w:p w14:paraId="38316FAD" w14:textId="77777777" w:rsidR="001145E8" w:rsidRPr="000B39F3" w:rsidRDefault="001076CF" w:rsidP="00E05B01">
      <w:pPr>
        <w:pStyle w:val="ListParagraph"/>
        <w:numPr>
          <w:ilvl w:val="0"/>
          <w:numId w:val="26"/>
        </w:numPr>
      </w:pPr>
      <w:proofErr w:type="gramStart"/>
      <w:r w:rsidRPr="000B39F3">
        <w:t>economic</w:t>
      </w:r>
      <w:proofErr w:type="gramEnd"/>
      <w:r w:rsidR="001145E8" w:rsidRPr="000B39F3">
        <w:t xml:space="preserve"> (economic reasons for the provisions)</w:t>
      </w:r>
    </w:p>
    <w:p w14:paraId="5B9619AF" w14:textId="77777777" w:rsidR="001145E8" w:rsidRPr="000B39F3" w:rsidRDefault="001145E8" w:rsidP="00E05B01">
      <w:pPr>
        <w:pStyle w:val="ListParagraph"/>
        <w:numPr>
          <w:ilvl w:val="0"/>
          <w:numId w:val="26"/>
        </w:numPr>
      </w:pPr>
      <w:proofErr w:type="gramStart"/>
      <w:r w:rsidRPr="000B39F3">
        <w:t>philosophical</w:t>
      </w:r>
      <w:proofErr w:type="gramEnd"/>
      <w:r w:rsidRPr="000B39F3">
        <w:t xml:space="preserve"> (mention of legal philosophy arguments to interpret concepts)</w:t>
      </w:r>
    </w:p>
    <w:p w14:paraId="2864469C" w14:textId="77777777" w:rsidR="00DC4FB6" w:rsidRPr="00E05B01" w:rsidRDefault="001076CF" w:rsidP="00E05B01">
      <w:pPr>
        <w:pStyle w:val="ListParagraph"/>
        <w:numPr>
          <w:ilvl w:val="0"/>
          <w:numId w:val="26"/>
        </w:numPr>
        <w:rPr>
          <w:lang w:val="it-IT"/>
        </w:rPr>
      </w:pPr>
      <w:proofErr w:type="spellStart"/>
      <w:proofErr w:type="gramStart"/>
      <w:r w:rsidRPr="00E05B01">
        <w:rPr>
          <w:lang w:val="it-IT"/>
        </w:rPr>
        <w:t>logic</w:t>
      </w:r>
      <w:proofErr w:type="spellEnd"/>
      <w:proofErr w:type="gramEnd"/>
      <w:r w:rsidR="001145E8" w:rsidRPr="00E05B01">
        <w:rPr>
          <w:lang w:val="it-IT"/>
        </w:rPr>
        <w:t xml:space="preserve">: </w:t>
      </w:r>
      <w:proofErr w:type="spellStart"/>
      <w:r w:rsidR="001145E8" w:rsidRPr="00E05B01">
        <w:rPr>
          <w:lang w:val="it-IT"/>
        </w:rPr>
        <w:t>analogy</w:t>
      </w:r>
      <w:proofErr w:type="spellEnd"/>
      <w:r w:rsidR="001145E8" w:rsidRPr="00E05B01">
        <w:rPr>
          <w:lang w:val="it-IT"/>
        </w:rPr>
        <w:t>, a fortiori, a contrario</w:t>
      </w:r>
    </w:p>
    <w:p w14:paraId="29F5A810" w14:textId="77777777" w:rsidR="00582368" w:rsidRPr="000B39F3" w:rsidRDefault="00582368" w:rsidP="00E05B01">
      <w:pPr>
        <w:rPr>
          <w:lang w:val="it-IT"/>
        </w:rPr>
      </w:pPr>
    </w:p>
    <w:p w14:paraId="503D3C09" w14:textId="77777777" w:rsidR="001145E8" w:rsidRPr="000B39F3" w:rsidRDefault="001145E8" w:rsidP="00E05B01">
      <w:proofErr w:type="gramStart"/>
      <w:r w:rsidRPr="000B39F3">
        <w:t>teleological</w:t>
      </w:r>
      <w:proofErr w:type="gramEnd"/>
      <w:r w:rsidRPr="000B39F3">
        <w:t>:</w:t>
      </w:r>
    </w:p>
    <w:p w14:paraId="58351762" w14:textId="77777777" w:rsidR="001145E8" w:rsidRPr="000B39F3" w:rsidRDefault="001145E8" w:rsidP="00E05B01">
      <w:pPr>
        <w:pStyle w:val="ListParagraph"/>
        <w:numPr>
          <w:ilvl w:val="0"/>
          <w:numId w:val="27"/>
        </w:numPr>
      </w:pPr>
      <w:proofErr w:type="gramStart"/>
      <w:r w:rsidRPr="000B39F3">
        <w:t>interpretation</w:t>
      </w:r>
      <w:proofErr w:type="gramEnd"/>
      <w:r w:rsidRPr="000B39F3">
        <w:t xml:space="preserve"> according to the perceived purpose of the legislator</w:t>
      </w:r>
    </w:p>
    <w:p w14:paraId="07CEFCF2" w14:textId="77777777" w:rsidR="001145E8" w:rsidRPr="000B39F3" w:rsidRDefault="001145E8" w:rsidP="00E05B01">
      <w:pPr>
        <w:pStyle w:val="ListParagraph"/>
        <w:numPr>
          <w:ilvl w:val="0"/>
          <w:numId w:val="27"/>
        </w:numPr>
      </w:pPr>
      <w:proofErr w:type="gramStart"/>
      <w:r w:rsidRPr="000B39F3">
        <w:t>approaches</w:t>
      </w:r>
      <w:proofErr w:type="gramEnd"/>
      <w:r w:rsidRPr="000B39F3">
        <w:t xml:space="preserve"> specific to the EU (</w:t>
      </w:r>
      <w:proofErr w:type="spellStart"/>
      <w:r w:rsidRPr="000B39F3">
        <w:t>effet</w:t>
      </w:r>
      <w:proofErr w:type="spellEnd"/>
      <w:r w:rsidRPr="000B39F3">
        <w:t xml:space="preserve"> ut</w:t>
      </w:r>
      <w:r w:rsidR="002859E4" w:rsidRPr="000B39F3">
        <w:t>ile, uniform application</w:t>
      </w:r>
      <w:r w:rsidRPr="000B39F3">
        <w:t>)</w:t>
      </w:r>
    </w:p>
    <w:p w14:paraId="2ACA8A6F" w14:textId="77777777" w:rsidR="001145E8" w:rsidRPr="000B39F3" w:rsidRDefault="002859E4" w:rsidP="00E05B01">
      <w:pPr>
        <w:pStyle w:val="ListParagraph"/>
        <w:numPr>
          <w:ilvl w:val="0"/>
          <w:numId w:val="27"/>
        </w:numPr>
      </w:pPr>
      <w:proofErr w:type="gramStart"/>
      <w:r w:rsidRPr="000B39F3">
        <w:t>reasonableness</w:t>
      </w:r>
      <w:proofErr w:type="gramEnd"/>
      <w:r w:rsidR="001145E8" w:rsidRPr="000B39F3">
        <w:t>: a contrary interpretation would lead to an aberrant result</w:t>
      </w:r>
    </w:p>
    <w:p w14:paraId="372D98D8" w14:textId="77777777" w:rsidR="001145E8" w:rsidRPr="000B39F3" w:rsidRDefault="001145E8" w:rsidP="001145E8">
      <w:pPr>
        <w:rPr>
          <w:rFonts w:ascii="Arial" w:hAnsi="Arial"/>
          <w:b/>
          <w:bCs/>
          <w:i/>
          <w:iCs/>
        </w:rPr>
      </w:pPr>
    </w:p>
    <w:p w14:paraId="6B4D6C1C" w14:textId="77777777" w:rsidR="00200585" w:rsidRPr="000B39F3" w:rsidRDefault="00200585">
      <w:pPr>
        <w:rPr>
          <w:rFonts w:ascii="Arial" w:hAnsi="Arial"/>
          <w:b/>
          <w:bCs/>
          <w:i/>
          <w:iCs/>
        </w:rPr>
      </w:pPr>
      <w:r w:rsidRPr="000B39F3">
        <w:rPr>
          <w:rFonts w:ascii="Arial" w:hAnsi="Arial"/>
          <w:b/>
          <w:bCs/>
          <w:i/>
          <w:iCs/>
        </w:rPr>
        <w:br w:type="page"/>
      </w:r>
    </w:p>
    <w:p w14:paraId="14395F9E" w14:textId="77777777" w:rsidR="00A40D42" w:rsidRPr="000B39F3" w:rsidRDefault="00BF2535" w:rsidP="002859E4">
      <w:pPr>
        <w:spacing w:line="360" w:lineRule="auto"/>
        <w:rPr>
          <w:rFonts w:ascii="Arial" w:hAnsi="Arial"/>
        </w:rPr>
      </w:pPr>
      <w:r w:rsidRPr="000B39F3">
        <w:rPr>
          <w:rFonts w:ascii="Arial" w:hAnsi="Arial"/>
          <w:b/>
          <w:bCs/>
          <w:i/>
          <w:iCs/>
        </w:rPr>
        <w:lastRenderedPageBreak/>
        <w:t>Examples of coding</w:t>
      </w:r>
    </w:p>
    <w:p w14:paraId="7815E42C" w14:textId="77777777" w:rsidR="001145E8" w:rsidRPr="000B39F3" w:rsidRDefault="00BF2535" w:rsidP="002859E4">
      <w:pPr>
        <w:spacing w:line="360" w:lineRule="auto"/>
        <w:rPr>
          <w:b/>
          <w:bCs/>
        </w:rPr>
      </w:pPr>
      <w:r w:rsidRPr="000B39F3">
        <w:rPr>
          <w:b/>
          <w:bCs/>
        </w:rPr>
        <w:t>C</w:t>
      </w:r>
      <w:r w:rsidR="001145E8" w:rsidRPr="000B39F3">
        <w:rPr>
          <w:b/>
          <w:bCs/>
        </w:rPr>
        <w:t xml:space="preserve">-466/12 </w:t>
      </w:r>
      <w:proofErr w:type="spellStart"/>
      <w:r w:rsidR="001145E8" w:rsidRPr="000B39F3">
        <w:rPr>
          <w:b/>
          <w:bCs/>
        </w:rPr>
        <w:t>Svensson</w:t>
      </w:r>
      <w:proofErr w:type="spellEnd"/>
    </w:p>
    <w:p w14:paraId="7ADF5987" w14:textId="1442A9F5" w:rsidR="001145E8" w:rsidRPr="000B39F3" w:rsidRDefault="00EF4A18" w:rsidP="002859E4">
      <w:pPr>
        <w:spacing w:line="360" w:lineRule="auto"/>
        <w:rPr>
          <w:rFonts w:eastAsia="Arial" w:cs="Arial"/>
        </w:rPr>
      </w:pPr>
      <w:r w:rsidRPr="000B39F3">
        <w:rPr>
          <w:rFonts w:eastAsia="Arial" w:cs="Arial"/>
        </w:rPr>
        <w:t>JUDGMENT</w:t>
      </w:r>
    </w:p>
    <w:p w14:paraId="657A7F76" w14:textId="77777777" w:rsidR="001145E8" w:rsidRPr="000B39F3" w:rsidRDefault="001145E8" w:rsidP="002859E4">
      <w:pPr>
        <w:spacing w:line="360" w:lineRule="auto"/>
        <w:rPr>
          <w:rFonts w:eastAsia="Arial" w:cs="Arial"/>
        </w:rPr>
      </w:pPr>
      <w:r w:rsidRPr="000B39F3">
        <w:rPr>
          <w:rFonts w:eastAsia="Arial" w:cs="Arial"/>
        </w:rPr>
        <w:t>Broad, teleological</w:t>
      </w:r>
    </w:p>
    <w:p w14:paraId="2778AF9B" w14:textId="77777777" w:rsidR="001145E8" w:rsidRPr="000B39F3" w:rsidRDefault="001145E8" w:rsidP="002859E4">
      <w:pPr>
        <w:spacing w:line="360" w:lineRule="auto"/>
        <w:rPr>
          <w:rFonts w:eastAsia="Arial" w:cs="Arial"/>
        </w:rPr>
      </w:pPr>
      <w:r w:rsidRPr="000B39F3">
        <w:rPr>
          <w:rFonts w:eastAsia="Arial" w:cs="Arial"/>
        </w:rPr>
        <w:t xml:space="preserve">As regards the first of those criteria, that is, the existence of an </w:t>
      </w:r>
      <w:r w:rsidR="00336396" w:rsidRPr="000B39F3">
        <w:rPr>
          <w:rFonts w:eastAsia="Arial" w:cs="Arial"/>
        </w:rPr>
        <w:t>‘</w:t>
      </w:r>
      <w:r w:rsidRPr="000B39F3">
        <w:rPr>
          <w:rFonts w:eastAsia="Arial" w:cs="Arial"/>
        </w:rPr>
        <w:t>act of communication</w:t>
      </w:r>
      <w:r w:rsidR="00336396" w:rsidRPr="000B39F3">
        <w:rPr>
          <w:rFonts w:eastAsia="Arial" w:cs="Arial"/>
        </w:rPr>
        <w:t>’</w:t>
      </w:r>
      <w:r w:rsidRPr="000B39F3">
        <w:rPr>
          <w:rFonts w:eastAsia="Arial" w:cs="Arial"/>
        </w:rPr>
        <w:t>, this must be construed broadly (see, to that effect, Joined Cases C</w:t>
      </w:r>
      <w:r w:rsidRPr="000B39F3">
        <w:rPr>
          <w:rFonts w:eastAsia="Arial" w:cs="Arial"/>
        </w:rPr>
        <w:noBreakHyphen/>
        <w:t>403/08 and C</w:t>
      </w:r>
      <w:r w:rsidRPr="000B39F3">
        <w:rPr>
          <w:rFonts w:eastAsia="Arial" w:cs="Arial"/>
        </w:rPr>
        <w:noBreakHyphen/>
        <w:t>429/08 Football Association Premier League and Others [2011] ECR I</w:t>
      </w:r>
      <w:r w:rsidRPr="000B39F3">
        <w:rPr>
          <w:rFonts w:eastAsia="Arial" w:cs="Arial"/>
        </w:rPr>
        <w:noBreakHyphen/>
        <w:t>9083, paragraph 193), in order to ensure, in accordance with, inter alia, recitals 4 and 9 in the preamble to Directive 2001/29, a high level of protection for copyright holders (17)</w:t>
      </w:r>
    </w:p>
    <w:p w14:paraId="5BF589B3" w14:textId="77777777" w:rsidR="001145E8" w:rsidRPr="000B39F3" w:rsidRDefault="001145E8" w:rsidP="002859E4">
      <w:pPr>
        <w:spacing w:line="360" w:lineRule="auto"/>
        <w:rPr>
          <w:rFonts w:eastAsia="Arial" w:cs="Arial"/>
        </w:rPr>
      </w:pPr>
      <w:r w:rsidRPr="000B39F3">
        <w:rPr>
          <w:rFonts w:eastAsia="Arial" w:cs="Arial"/>
        </w:rPr>
        <w:t>Teleological</w:t>
      </w:r>
    </w:p>
    <w:p w14:paraId="75B0814C" w14:textId="77777777" w:rsidR="001145E8" w:rsidRPr="000B39F3" w:rsidRDefault="00BF2535" w:rsidP="002859E4">
      <w:pPr>
        <w:spacing w:line="360" w:lineRule="auto"/>
        <w:rPr>
          <w:rFonts w:eastAsia="Arial" w:cs="Arial"/>
        </w:rPr>
      </w:pPr>
      <w:r w:rsidRPr="000B39F3">
        <w:rPr>
          <w:rFonts w:eastAsia="Arial" w:cs="Arial"/>
        </w:rPr>
        <w:t>R</w:t>
      </w:r>
      <w:r w:rsidR="001145E8" w:rsidRPr="000B39F3">
        <w:rPr>
          <w:rFonts w:eastAsia="Arial" w:cs="Arial"/>
        </w:rPr>
        <w:t>ecital 7 in the preamble to the directive indicates that the directive does not have the objective of removing or preventing differences that do not adversely affect the fun</w:t>
      </w:r>
      <w:r w:rsidRPr="000B39F3">
        <w:rPr>
          <w:rFonts w:eastAsia="Arial" w:cs="Arial"/>
        </w:rPr>
        <w:t xml:space="preserve">ctioning of the internal market </w:t>
      </w:r>
      <w:r w:rsidR="001145E8" w:rsidRPr="000B39F3">
        <w:rPr>
          <w:rFonts w:eastAsia="Arial" w:cs="Arial"/>
        </w:rPr>
        <w:t>(36)</w:t>
      </w:r>
    </w:p>
    <w:p w14:paraId="0F5D48AF" w14:textId="77777777" w:rsidR="00A40D42" w:rsidRPr="000B39F3" w:rsidRDefault="00A40D42" w:rsidP="002859E4">
      <w:pPr>
        <w:spacing w:line="360" w:lineRule="auto"/>
        <w:rPr>
          <w:rFonts w:eastAsia="Arial" w:cs="Arial"/>
        </w:rPr>
      </w:pPr>
      <w:r w:rsidRPr="000B39F3">
        <w:rPr>
          <w:rFonts w:eastAsia="Arial" w:cs="Arial"/>
        </w:rPr>
        <w:t>Outcome (unfavourable to right holder)</w:t>
      </w:r>
    </w:p>
    <w:p w14:paraId="08BA0FA9" w14:textId="77777777" w:rsidR="0087209B" w:rsidRPr="000B39F3" w:rsidRDefault="0087209B" w:rsidP="002859E4">
      <w:pPr>
        <w:spacing w:line="360" w:lineRule="auto"/>
        <w:rPr>
          <w:rFonts w:ascii="Times" w:hAnsi="Times"/>
          <w:sz w:val="20"/>
          <w:szCs w:val="20"/>
          <w:lang w:eastAsia="en-US"/>
        </w:rPr>
      </w:pPr>
      <w:r w:rsidRPr="000B39F3">
        <w:rPr>
          <w:shd w:val="clear" w:color="auto" w:fill="FFFFFF"/>
          <w:lang w:eastAsia="en-US"/>
        </w:rPr>
        <w:t>Main question: ‘… the referring court asks, in essence, whether Article 3(1) of Directive 2001/29 must be interpreted as meaning that the provision, on a website, of clickable links to protected works available on another website constitutes an act of communication to the public as referred to in that provision, where, on that other site, the works concerned are freely accessible.’ (14)</w:t>
      </w:r>
      <w:bookmarkStart w:id="37" w:name="_GoBack"/>
      <w:bookmarkEnd w:id="37"/>
    </w:p>
    <w:p w14:paraId="64F76EB4" w14:textId="77777777" w:rsidR="001145E8" w:rsidRPr="000B39F3" w:rsidRDefault="0087209B" w:rsidP="002859E4">
      <w:pPr>
        <w:spacing w:line="360" w:lineRule="auto"/>
        <w:rPr>
          <w:rFonts w:ascii="Times" w:hAnsi="Times"/>
          <w:sz w:val="20"/>
          <w:szCs w:val="20"/>
          <w:lang w:eastAsia="en-US"/>
        </w:rPr>
      </w:pPr>
      <w:r w:rsidRPr="000B39F3">
        <w:rPr>
          <w:shd w:val="clear" w:color="auto" w:fill="FFFFFF"/>
          <w:lang w:eastAsia="en-US"/>
        </w:rPr>
        <w:t xml:space="preserve">Ruling: ‘Article 3(1) of Directive 2001/29/EC </w:t>
      </w:r>
      <w:r w:rsidR="009D0CC2" w:rsidRPr="000B39F3">
        <w:rPr>
          <w:shd w:val="clear" w:color="auto" w:fill="FFFFFF"/>
          <w:lang w:eastAsia="en-US"/>
        </w:rPr>
        <w:t>…</w:t>
      </w:r>
      <w:r w:rsidRPr="000B39F3">
        <w:rPr>
          <w:shd w:val="clear" w:color="auto" w:fill="FFFFFF"/>
          <w:lang w:eastAsia="en-US"/>
        </w:rPr>
        <w:t xml:space="preserve"> must be interpreted as meaning that the provision on a website of clickable links to works freely available on another website does not constitute an ‘act of communication to the public’, as referred to in that provision.</w:t>
      </w:r>
      <w:r w:rsidR="009D0CC2" w:rsidRPr="000B39F3">
        <w:rPr>
          <w:shd w:val="clear" w:color="auto" w:fill="FFFFFF"/>
          <w:lang w:eastAsia="en-US"/>
        </w:rPr>
        <w:t>’</w:t>
      </w:r>
    </w:p>
    <w:p w14:paraId="035EE4F5" w14:textId="77777777" w:rsidR="00F427B8" w:rsidRPr="000B39F3" w:rsidRDefault="00F427B8" w:rsidP="002859E4">
      <w:pPr>
        <w:spacing w:line="360" w:lineRule="auto"/>
        <w:rPr>
          <w:rFonts w:eastAsia="Arial" w:cs="Arial"/>
        </w:rPr>
      </w:pPr>
    </w:p>
    <w:p w14:paraId="6A823E41" w14:textId="77777777" w:rsidR="001145E8" w:rsidRPr="000B39F3" w:rsidRDefault="001145E8" w:rsidP="00F427B8">
      <w:pPr>
        <w:spacing w:line="276" w:lineRule="auto"/>
        <w:rPr>
          <w:rFonts w:eastAsia="Arial" w:cs="Arial"/>
          <w:b/>
        </w:rPr>
      </w:pPr>
      <w:r w:rsidRPr="000B39F3">
        <w:rPr>
          <w:rFonts w:eastAsia="Arial" w:cs="Arial"/>
          <w:b/>
        </w:rPr>
        <w:t>C-351/12 OSA</w:t>
      </w:r>
    </w:p>
    <w:p w14:paraId="219B26BF" w14:textId="77777777" w:rsidR="001145E8" w:rsidRPr="000B39F3" w:rsidRDefault="001145E8" w:rsidP="002859E4">
      <w:pPr>
        <w:spacing w:line="360" w:lineRule="auto"/>
        <w:rPr>
          <w:rFonts w:eastAsia="Arial" w:cs="Arial"/>
        </w:rPr>
      </w:pPr>
      <w:r w:rsidRPr="000B39F3">
        <w:rPr>
          <w:rFonts w:eastAsia="Arial" w:cs="Arial"/>
        </w:rPr>
        <w:t>OPINION</w:t>
      </w:r>
    </w:p>
    <w:p w14:paraId="582A2CC6" w14:textId="77777777" w:rsidR="001145E8" w:rsidRPr="000B39F3" w:rsidRDefault="00C84476" w:rsidP="002859E4">
      <w:pPr>
        <w:spacing w:line="360" w:lineRule="auto"/>
        <w:rPr>
          <w:rFonts w:eastAsia="Arial" w:cs="Arial"/>
        </w:rPr>
      </w:pPr>
      <w:r w:rsidRPr="000B39F3">
        <w:rPr>
          <w:rFonts w:eastAsia="Arial" w:cs="Arial"/>
        </w:rPr>
        <w:t>Broad, t</w:t>
      </w:r>
      <w:r w:rsidR="001145E8" w:rsidRPr="000B39F3">
        <w:rPr>
          <w:rFonts w:eastAsia="Arial" w:cs="Arial"/>
        </w:rPr>
        <w:t>eleological</w:t>
      </w:r>
    </w:p>
    <w:p w14:paraId="65049B64" w14:textId="77777777" w:rsidR="001145E8" w:rsidRPr="000B39F3" w:rsidRDefault="001145E8" w:rsidP="002859E4">
      <w:pPr>
        <w:spacing w:line="360" w:lineRule="auto"/>
        <w:rPr>
          <w:rFonts w:eastAsia="Arial" w:cs="Arial"/>
        </w:rPr>
      </w:pPr>
      <w:proofErr w:type="gramStart"/>
      <w:r w:rsidRPr="000B39F3">
        <w:rPr>
          <w:rFonts w:eastAsia="Arial" w:cs="Arial"/>
        </w:rPr>
        <w:t>the</w:t>
      </w:r>
      <w:proofErr w:type="gramEnd"/>
      <w:r w:rsidRPr="000B39F3">
        <w:rPr>
          <w:rFonts w:eastAsia="Arial" w:cs="Arial"/>
        </w:rPr>
        <w:t xml:space="preserve"> expression must be interpreted broadly, in such a way as to ensure a high level </w:t>
      </w:r>
      <w:r w:rsidR="00200585" w:rsidRPr="000B39F3">
        <w:rPr>
          <w:rFonts w:eastAsia="Arial" w:cs="Arial"/>
        </w:rPr>
        <w:t>of protection for right holders (27)</w:t>
      </w:r>
    </w:p>
    <w:p w14:paraId="7CCA4801" w14:textId="08017253" w:rsidR="001145E8" w:rsidRPr="000B39F3" w:rsidRDefault="00EF4A18" w:rsidP="002859E4">
      <w:pPr>
        <w:spacing w:line="360" w:lineRule="auto"/>
        <w:rPr>
          <w:rFonts w:eastAsia="Arial" w:cs="Arial"/>
        </w:rPr>
      </w:pPr>
      <w:r w:rsidRPr="000B39F3">
        <w:rPr>
          <w:rFonts w:eastAsia="Arial" w:cs="Arial"/>
        </w:rPr>
        <w:t>JUDGMENT</w:t>
      </w:r>
    </w:p>
    <w:p w14:paraId="77395827" w14:textId="77777777" w:rsidR="001145E8" w:rsidRPr="000B39F3" w:rsidRDefault="001145E8" w:rsidP="002859E4">
      <w:pPr>
        <w:spacing w:line="360" w:lineRule="auto"/>
        <w:rPr>
          <w:rFonts w:eastAsia="Arial" w:cs="Arial"/>
        </w:rPr>
      </w:pPr>
      <w:r w:rsidRPr="000B39F3">
        <w:rPr>
          <w:rFonts w:eastAsia="Arial" w:cs="Arial"/>
        </w:rPr>
        <w:t>Broad</w:t>
      </w:r>
    </w:p>
    <w:p w14:paraId="6DF7D1DE" w14:textId="605AF726" w:rsidR="001145E8" w:rsidRPr="000B39F3" w:rsidRDefault="001145E8" w:rsidP="002859E4">
      <w:pPr>
        <w:spacing w:line="360" w:lineRule="auto"/>
        <w:rPr>
          <w:rFonts w:eastAsia="Arial" w:cs="Arial"/>
        </w:rPr>
      </w:pPr>
      <w:proofErr w:type="gramStart"/>
      <w:r w:rsidRPr="000B39F3">
        <w:rPr>
          <w:rFonts w:eastAsia="Arial" w:cs="Arial"/>
        </w:rPr>
        <w:lastRenderedPageBreak/>
        <w:t>the</w:t>
      </w:r>
      <w:proofErr w:type="gramEnd"/>
      <w:r w:rsidRPr="000B39F3">
        <w:rPr>
          <w:rFonts w:eastAsia="Arial" w:cs="Arial"/>
        </w:rPr>
        <w:t xml:space="preserve"> concept of </w:t>
      </w:r>
      <w:r w:rsidR="00336396" w:rsidRPr="000B39F3">
        <w:rPr>
          <w:rFonts w:eastAsia="Arial" w:cs="Arial"/>
        </w:rPr>
        <w:t>‘</w:t>
      </w:r>
      <w:r w:rsidRPr="000B39F3">
        <w:rPr>
          <w:rFonts w:eastAsia="Arial" w:cs="Arial"/>
        </w:rPr>
        <w:t>communication to the public</w:t>
      </w:r>
      <w:r w:rsidR="00336396" w:rsidRPr="000B39F3">
        <w:rPr>
          <w:rFonts w:eastAsia="Arial" w:cs="Arial"/>
        </w:rPr>
        <w:t>’</w:t>
      </w:r>
      <w:r w:rsidRPr="000B39F3">
        <w:rPr>
          <w:rFonts w:eastAsia="Arial" w:cs="Arial"/>
        </w:rPr>
        <w:t xml:space="preserve"> in Article 3(1) of that directive must be interpreted broadly, as recital 23 in the preamble to the directive indeed expressly states</w:t>
      </w:r>
      <w:r w:rsidR="007A5F6E">
        <w:rPr>
          <w:rFonts w:eastAsia="Arial" w:cs="Arial"/>
        </w:rPr>
        <w:t xml:space="preserve"> </w:t>
      </w:r>
      <w:r w:rsidRPr="000B39F3">
        <w:rPr>
          <w:rFonts w:eastAsia="Arial" w:cs="Arial"/>
        </w:rPr>
        <w:t>(23)</w:t>
      </w:r>
    </w:p>
    <w:p w14:paraId="573B1BAC" w14:textId="77777777" w:rsidR="001145E8" w:rsidRPr="000B39F3" w:rsidRDefault="001145E8" w:rsidP="002859E4">
      <w:pPr>
        <w:spacing w:line="360" w:lineRule="auto"/>
        <w:rPr>
          <w:rFonts w:eastAsia="Arial" w:cs="Arial"/>
        </w:rPr>
      </w:pPr>
      <w:r w:rsidRPr="000B39F3">
        <w:rPr>
          <w:rFonts w:eastAsia="Arial" w:cs="Arial"/>
        </w:rPr>
        <w:t>Teleological</w:t>
      </w:r>
    </w:p>
    <w:p w14:paraId="11A1703A" w14:textId="77777777" w:rsidR="001145E8" w:rsidRPr="000B39F3" w:rsidRDefault="001145E8" w:rsidP="002859E4">
      <w:pPr>
        <w:spacing w:line="360" w:lineRule="auto"/>
        <w:rPr>
          <w:rFonts w:eastAsia="Arial" w:cs="Arial"/>
        </w:rPr>
      </w:pPr>
      <w:proofErr w:type="gramStart"/>
      <w:r w:rsidRPr="000B39F3">
        <w:rPr>
          <w:rFonts w:eastAsia="Arial" w:cs="Arial"/>
        </w:rPr>
        <w:t>the</w:t>
      </w:r>
      <w:proofErr w:type="gramEnd"/>
      <w:r w:rsidRPr="000B39F3">
        <w:rPr>
          <w:rFonts w:eastAsia="Arial" w:cs="Arial"/>
        </w:rPr>
        <w:t xml:space="preserve"> principal objective of Directive 2001/29 is to establish a high level of protection of authors (23)</w:t>
      </w:r>
    </w:p>
    <w:p w14:paraId="795B1345" w14:textId="77777777" w:rsidR="001145E8" w:rsidRPr="000B39F3" w:rsidRDefault="001145E8" w:rsidP="002859E4">
      <w:pPr>
        <w:spacing w:line="360" w:lineRule="auto"/>
        <w:rPr>
          <w:rFonts w:eastAsia="Arial" w:cs="Arial"/>
        </w:rPr>
      </w:pPr>
      <w:r w:rsidRPr="000B39F3">
        <w:rPr>
          <w:rFonts w:eastAsia="Arial" w:cs="Arial"/>
        </w:rPr>
        <w:t>EU law</w:t>
      </w:r>
    </w:p>
    <w:p w14:paraId="35FF32BB" w14:textId="77777777" w:rsidR="00876211" w:rsidRPr="000B39F3" w:rsidRDefault="001145E8" w:rsidP="002859E4">
      <w:pPr>
        <w:spacing w:line="360" w:lineRule="auto"/>
        <w:rPr>
          <w:rFonts w:eastAsia="Arial" w:cs="Arial"/>
        </w:rPr>
      </w:pPr>
      <w:r w:rsidRPr="000B39F3">
        <w:rPr>
          <w:rFonts w:eastAsia="Arial" w:cs="Arial"/>
        </w:rPr>
        <w:t>Questions on the interpretation of EU law referred by a national court in the factual and legislative context which that court is responsible for defining, and the accuracy of which is not a matter for the Court to determine, enjoy a presumption of relevance (56)</w:t>
      </w:r>
    </w:p>
    <w:p w14:paraId="1A4A02BB" w14:textId="77777777" w:rsidR="001E712E" w:rsidRPr="000B39F3" w:rsidRDefault="00876211" w:rsidP="00F427B8">
      <w:pPr>
        <w:spacing w:line="360" w:lineRule="auto"/>
      </w:pPr>
      <w:r w:rsidRPr="000B39F3">
        <w:t>Outcome (favourable to right holder)</w:t>
      </w:r>
    </w:p>
    <w:p w14:paraId="24578EC3" w14:textId="77777777" w:rsidR="001E712E" w:rsidRPr="000B39F3" w:rsidRDefault="001E712E" w:rsidP="00F427B8">
      <w:pPr>
        <w:spacing w:line="360" w:lineRule="auto"/>
        <w:rPr>
          <w:b/>
          <w:bCs/>
        </w:rPr>
      </w:pPr>
      <w:r w:rsidRPr="000B39F3">
        <w:t>Main question: ‘</w:t>
      </w:r>
      <w:r w:rsidRPr="000B39F3">
        <w:rPr>
          <w:bCs/>
          <w:color w:val="333333"/>
          <w:shd w:val="clear" w:color="auto" w:fill="FFFFFF"/>
        </w:rPr>
        <w:t>Must Directive 2001/29/EC …</w:t>
      </w:r>
      <w:r w:rsidRPr="000B39F3">
        <w:rPr>
          <w:rStyle w:val="apple-converted-space"/>
          <w:bCs/>
          <w:color w:val="333333"/>
          <w:shd w:val="clear" w:color="auto" w:fill="FFFFFF"/>
        </w:rPr>
        <w:t> </w:t>
      </w:r>
      <w:r w:rsidRPr="000B39F3">
        <w:rPr>
          <w:bCs/>
          <w:color w:val="333333"/>
          <w:shd w:val="clear" w:color="auto" w:fill="FFFFFF"/>
        </w:rPr>
        <w:t>be interpreted as meaning that an exception disallowing remuneration to authors for the communication of their work by television or radio … to patients in rooms in a spa establishment which is a business is contrary to Articles 3 and 5 (Article 5(2)(e), (3)(b) and (5))?</w:t>
      </w:r>
      <w:r w:rsidRPr="000B39F3">
        <w:rPr>
          <w:b/>
          <w:bCs/>
        </w:rPr>
        <w:t>’</w:t>
      </w:r>
    </w:p>
    <w:p w14:paraId="4E0C859D" w14:textId="77777777" w:rsidR="00FC012E" w:rsidRPr="000B39F3" w:rsidRDefault="001E712E" w:rsidP="00F427B8">
      <w:pPr>
        <w:spacing w:line="360" w:lineRule="auto"/>
        <w:rPr>
          <w:bCs/>
          <w:color w:val="333333"/>
          <w:shd w:val="clear" w:color="auto" w:fill="FFFFFF"/>
        </w:rPr>
      </w:pPr>
      <w:r w:rsidRPr="000B39F3">
        <w:rPr>
          <w:bCs/>
        </w:rPr>
        <w:t>Ruling</w:t>
      </w:r>
      <w:r w:rsidRPr="000B39F3">
        <w:rPr>
          <w:b/>
          <w:bCs/>
        </w:rPr>
        <w:t xml:space="preserve">: </w:t>
      </w:r>
      <w:r w:rsidRPr="000B39F3">
        <w:rPr>
          <w:bCs/>
        </w:rPr>
        <w:t>‘</w:t>
      </w:r>
      <w:r w:rsidRPr="000B39F3">
        <w:rPr>
          <w:bCs/>
          <w:color w:val="333333"/>
          <w:shd w:val="clear" w:color="auto" w:fill="FFFFFF"/>
        </w:rPr>
        <w:t>Article 3(1) of Directive 2001/29/EC …must be interpreted as precluding national legislation which excludes the right of authors to authorise or prohibit the communication of their works, by a spa establishment which is a business, through the intentional distribution of a signal by means of television or radio sets in the bedrooms of the establishment’s patients. Article 5(2)(e), (3)(b) and (5) of that directive is not such as to affect that interpretation.’</w:t>
      </w:r>
    </w:p>
    <w:p w14:paraId="516EA968" w14:textId="77777777" w:rsidR="009D0CC2" w:rsidRPr="000B39F3" w:rsidRDefault="009D0CC2" w:rsidP="002859E4">
      <w:pPr>
        <w:spacing w:line="360" w:lineRule="auto"/>
        <w:rPr>
          <w:b/>
          <w:bCs/>
        </w:rPr>
      </w:pPr>
    </w:p>
    <w:p w14:paraId="1D65DEAA" w14:textId="77777777" w:rsidR="001145E8" w:rsidRPr="000B39F3" w:rsidRDefault="001145E8" w:rsidP="002859E4">
      <w:pPr>
        <w:spacing w:line="360" w:lineRule="auto"/>
      </w:pPr>
      <w:proofErr w:type="gramStart"/>
      <w:r w:rsidRPr="000B39F3">
        <w:rPr>
          <w:b/>
          <w:bCs/>
        </w:rPr>
        <w:t xml:space="preserve">C-355/12 Nintendo </w:t>
      </w:r>
      <w:proofErr w:type="spellStart"/>
      <w:r w:rsidRPr="000B39F3">
        <w:rPr>
          <w:b/>
          <w:bCs/>
        </w:rPr>
        <w:t>e.a</w:t>
      </w:r>
      <w:proofErr w:type="spellEnd"/>
      <w:r w:rsidRPr="000B39F3">
        <w:rPr>
          <w:b/>
          <w:bCs/>
        </w:rPr>
        <w:t>.</w:t>
      </w:r>
      <w:proofErr w:type="gramEnd"/>
    </w:p>
    <w:p w14:paraId="681BD81A" w14:textId="77777777" w:rsidR="001145E8" w:rsidRPr="000B39F3" w:rsidRDefault="001145E8" w:rsidP="002859E4">
      <w:pPr>
        <w:spacing w:line="360" w:lineRule="auto"/>
        <w:rPr>
          <w:rFonts w:eastAsia="Arial" w:cs="Arial"/>
        </w:rPr>
      </w:pPr>
      <w:r w:rsidRPr="000B39F3">
        <w:rPr>
          <w:rFonts w:eastAsia="Arial" w:cs="Arial"/>
        </w:rPr>
        <w:t>OPINION</w:t>
      </w:r>
    </w:p>
    <w:p w14:paraId="0F3E4E11" w14:textId="77777777" w:rsidR="001145E8" w:rsidRPr="000B39F3" w:rsidRDefault="00DC4FB6" w:rsidP="002859E4">
      <w:pPr>
        <w:spacing w:line="360" w:lineRule="auto"/>
        <w:rPr>
          <w:rFonts w:eastAsia="Arial" w:cs="Arial"/>
        </w:rPr>
      </w:pPr>
      <w:r w:rsidRPr="000B39F3">
        <w:rPr>
          <w:rFonts w:eastAsia="Arial" w:cs="Arial"/>
        </w:rPr>
        <w:t>B</w:t>
      </w:r>
      <w:r w:rsidR="001145E8" w:rsidRPr="000B39F3">
        <w:rPr>
          <w:rFonts w:eastAsia="Arial" w:cs="Arial"/>
        </w:rPr>
        <w:t xml:space="preserve">road </w:t>
      </w:r>
    </w:p>
    <w:p w14:paraId="644595E0" w14:textId="736361BA" w:rsidR="001145E8" w:rsidRPr="000B39F3" w:rsidRDefault="001145E8" w:rsidP="002859E4">
      <w:pPr>
        <w:spacing w:line="360" w:lineRule="auto"/>
        <w:rPr>
          <w:rFonts w:eastAsia="Arial" w:cs="Arial"/>
        </w:rPr>
      </w:pPr>
      <w:r w:rsidRPr="000B39F3">
        <w:rPr>
          <w:rFonts w:eastAsia="Arial" w:cs="Arial"/>
        </w:rPr>
        <w:t xml:space="preserve">On a proper construction of Directive 2001/29/EC of the European Parliament and of the Council of 22 May 2001 on the harmonisation of certain aspects of copyright and related rights in the information society, </w:t>
      </w:r>
      <w:r w:rsidR="00336396" w:rsidRPr="000B39F3">
        <w:rPr>
          <w:rFonts w:eastAsia="Arial" w:cs="Arial"/>
        </w:rPr>
        <w:t>‘</w:t>
      </w:r>
      <w:r w:rsidRPr="000B39F3">
        <w:rPr>
          <w:rFonts w:eastAsia="Arial" w:cs="Arial"/>
        </w:rPr>
        <w:t>technological measures</w:t>
      </w:r>
      <w:r w:rsidR="00336396" w:rsidRPr="000B39F3">
        <w:rPr>
          <w:rFonts w:eastAsia="Arial" w:cs="Arial"/>
        </w:rPr>
        <w:t>’</w:t>
      </w:r>
      <w:r w:rsidRPr="000B39F3">
        <w:rPr>
          <w:rFonts w:eastAsia="Arial" w:cs="Arial"/>
        </w:rPr>
        <w:t xml:space="preserve"> within the meaning of Article 6 of that directive may include measures incorporated not only in protected works themselves but also in devices designed</w:t>
      </w:r>
      <w:r w:rsidR="00A11A78">
        <w:rPr>
          <w:rFonts w:eastAsia="Arial" w:cs="Arial"/>
        </w:rPr>
        <w:t xml:space="preserve"> to allow access to those works</w:t>
      </w:r>
      <w:r w:rsidR="005818AE">
        <w:rPr>
          <w:rFonts w:eastAsia="Arial" w:cs="Arial"/>
        </w:rPr>
        <w:t xml:space="preserve"> </w:t>
      </w:r>
      <w:r w:rsidRPr="000B39F3">
        <w:rPr>
          <w:rFonts w:eastAsia="Arial" w:cs="Arial"/>
        </w:rPr>
        <w:t>(79,1)</w:t>
      </w:r>
    </w:p>
    <w:p w14:paraId="5C9398F3" w14:textId="1782E2A1" w:rsidR="001145E8" w:rsidRPr="000B39F3" w:rsidRDefault="00EF4A18" w:rsidP="002859E4">
      <w:pPr>
        <w:spacing w:line="360" w:lineRule="auto"/>
        <w:rPr>
          <w:rFonts w:eastAsia="Arial" w:cs="Arial"/>
        </w:rPr>
      </w:pPr>
      <w:r w:rsidRPr="000B39F3">
        <w:rPr>
          <w:rFonts w:eastAsia="Arial" w:cs="Arial"/>
        </w:rPr>
        <w:t>JUDGMENT</w:t>
      </w:r>
    </w:p>
    <w:p w14:paraId="255F95AB" w14:textId="77777777" w:rsidR="001145E8" w:rsidRPr="000B39F3" w:rsidRDefault="00DC4FB6" w:rsidP="002859E4">
      <w:pPr>
        <w:spacing w:line="360" w:lineRule="auto"/>
        <w:rPr>
          <w:rFonts w:eastAsia="Arial" w:cs="Arial"/>
        </w:rPr>
      </w:pPr>
      <w:r w:rsidRPr="000B39F3">
        <w:rPr>
          <w:rFonts w:eastAsia="Arial" w:cs="Arial"/>
        </w:rPr>
        <w:t>B</w:t>
      </w:r>
      <w:r w:rsidR="001145E8" w:rsidRPr="000B39F3">
        <w:rPr>
          <w:rFonts w:eastAsia="Arial" w:cs="Arial"/>
        </w:rPr>
        <w:t xml:space="preserve">road </w:t>
      </w:r>
    </w:p>
    <w:p w14:paraId="5EFD9078" w14:textId="71421F7A" w:rsidR="001145E8" w:rsidRPr="000B39F3" w:rsidRDefault="001145E8" w:rsidP="002859E4">
      <w:pPr>
        <w:spacing w:line="360" w:lineRule="auto"/>
        <w:rPr>
          <w:rFonts w:eastAsia="Arial" w:cs="Arial"/>
        </w:rPr>
      </w:pPr>
      <w:proofErr w:type="gramStart"/>
      <w:r w:rsidRPr="000B39F3">
        <w:rPr>
          <w:rFonts w:eastAsia="Arial" w:cs="Arial"/>
        </w:rPr>
        <w:lastRenderedPageBreak/>
        <w:t>the</w:t>
      </w:r>
      <w:proofErr w:type="gramEnd"/>
      <w:r w:rsidRPr="000B39F3">
        <w:rPr>
          <w:rFonts w:eastAsia="Arial" w:cs="Arial"/>
        </w:rPr>
        <w:t xml:space="preserve"> concept of an </w:t>
      </w:r>
      <w:r w:rsidR="00336396" w:rsidRPr="000B39F3">
        <w:rPr>
          <w:rFonts w:eastAsia="Arial" w:cs="Arial"/>
        </w:rPr>
        <w:t>‘</w:t>
      </w:r>
      <w:r w:rsidRPr="000B39F3">
        <w:rPr>
          <w:rFonts w:eastAsia="Arial" w:cs="Arial"/>
        </w:rPr>
        <w:t>effective technological measure</w:t>
      </w:r>
      <w:r w:rsidR="00336396" w:rsidRPr="000B39F3">
        <w:rPr>
          <w:rFonts w:eastAsia="Arial" w:cs="Arial"/>
        </w:rPr>
        <w:t>’</w:t>
      </w:r>
      <w:r w:rsidRPr="000B39F3">
        <w:rPr>
          <w:rFonts w:eastAsia="Arial" w:cs="Arial"/>
        </w:rPr>
        <w:t xml:space="preserve">, for the purposes of Article 6(3) of that directive, is capable of covering technological measures comprising, principally, equipping not only the housing system containing the protected work, such as the videogame, with a recognition device in order to protect it against acts not authorised by the holder of any copyright, but also portable equipment or consoles intended to ensure access to those games and their use. </w:t>
      </w:r>
      <w:r w:rsidR="00361208">
        <w:rPr>
          <w:rFonts w:eastAsia="Arial" w:cs="Arial"/>
        </w:rPr>
        <w:t>(19)</w:t>
      </w:r>
    </w:p>
    <w:p w14:paraId="409C3325" w14:textId="77777777" w:rsidR="001145E8" w:rsidRPr="000B39F3" w:rsidRDefault="001145E8" w:rsidP="002859E4">
      <w:pPr>
        <w:spacing w:line="360" w:lineRule="auto"/>
        <w:rPr>
          <w:rFonts w:eastAsia="Arial" w:cs="Arial"/>
        </w:rPr>
      </w:pPr>
      <w:r w:rsidRPr="000B39F3">
        <w:rPr>
          <w:rFonts w:eastAsia="Arial" w:cs="Arial"/>
        </w:rPr>
        <w:t>Teleological</w:t>
      </w:r>
    </w:p>
    <w:p w14:paraId="4362ED54" w14:textId="77777777" w:rsidR="001145E8" w:rsidRPr="000B39F3" w:rsidRDefault="001145E8" w:rsidP="002859E4">
      <w:pPr>
        <w:spacing w:line="360" w:lineRule="auto"/>
        <w:rPr>
          <w:rFonts w:eastAsia="Arial" w:cs="Arial"/>
        </w:rPr>
      </w:pPr>
      <w:r w:rsidRPr="000B39F3">
        <w:rPr>
          <w:rFonts w:eastAsia="Arial" w:cs="Arial"/>
        </w:rPr>
        <w:t>Such a definition, moreover, complies with the principal objective of Directive 2001/</w:t>
      </w:r>
      <w:proofErr w:type="gramStart"/>
      <w:r w:rsidRPr="000B39F3">
        <w:rPr>
          <w:rFonts w:eastAsia="Arial" w:cs="Arial"/>
        </w:rPr>
        <w:t>29 which</w:t>
      </w:r>
      <w:proofErr w:type="gramEnd"/>
      <w:r w:rsidRPr="000B39F3">
        <w:rPr>
          <w:rFonts w:eastAsia="Arial" w:cs="Arial"/>
        </w:rPr>
        <w:t>, as is apparent from recital 9 thereof, is to establish a high level of protection in favour, in particular, of authors, which is crucial to intellectual creation. (27)</w:t>
      </w:r>
    </w:p>
    <w:p w14:paraId="45379604" w14:textId="77777777" w:rsidR="001145E8" w:rsidRPr="000B39F3" w:rsidRDefault="001145E8" w:rsidP="002859E4">
      <w:pPr>
        <w:spacing w:line="360" w:lineRule="auto"/>
        <w:rPr>
          <w:rFonts w:eastAsia="Arial" w:cs="Arial"/>
        </w:rPr>
      </w:pPr>
      <w:r w:rsidRPr="000B39F3">
        <w:rPr>
          <w:rFonts w:eastAsia="Arial" w:cs="Arial"/>
        </w:rPr>
        <w:t>EU/proportionality</w:t>
      </w:r>
    </w:p>
    <w:p w14:paraId="008303E1" w14:textId="77777777" w:rsidR="001145E8" w:rsidRPr="000B39F3" w:rsidRDefault="001145E8" w:rsidP="002859E4">
      <w:pPr>
        <w:spacing w:line="360" w:lineRule="auto"/>
        <w:rPr>
          <w:rFonts w:eastAsia="Arial" w:cs="Arial"/>
        </w:rPr>
      </w:pPr>
      <w:r w:rsidRPr="000B39F3">
        <w:rPr>
          <w:rFonts w:eastAsia="Arial" w:cs="Arial"/>
        </w:rPr>
        <w:t> </w:t>
      </w:r>
      <w:proofErr w:type="gramStart"/>
      <w:r w:rsidRPr="000B39F3">
        <w:rPr>
          <w:rFonts w:eastAsia="Arial" w:cs="Arial"/>
        </w:rPr>
        <w:t>the</w:t>
      </w:r>
      <w:proofErr w:type="gramEnd"/>
      <w:r w:rsidRPr="000B39F3">
        <w:rPr>
          <w:rFonts w:eastAsia="Arial" w:cs="Arial"/>
        </w:rPr>
        <w:t xml:space="preserve"> examination of that question requires that account be taken of the fact that legal protection against acts not authorised by the </w:t>
      </w:r>
      <w:proofErr w:type="spellStart"/>
      <w:r w:rsidRPr="000B39F3">
        <w:rPr>
          <w:rFonts w:eastAsia="Arial" w:cs="Arial"/>
        </w:rPr>
        <w:t>rightholder</w:t>
      </w:r>
      <w:proofErr w:type="spellEnd"/>
      <w:r w:rsidRPr="000B39F3">
        <w:rPr>
          <w:rFonts w:eastAsia="Arial" w:cs="Arial"/>
        </w:rPr>
        <w:t xml:space="preserve"> of any copyright must respect the principle of proportionality, in accordance with Article 6(2) of Directive 2001/29, interpreted in the light of recital 48 thereof, and should not prohibit devices or activities which have a commercially significant purpose or use other than to circumvent the technical protection. (30)</w:t>
      </w:r>
    </w:p>
    <w:p w14:paraId="3D387BD8" w14:textId="46A8FEE0" w:rsidR="001145E8" w:rsidRPr="000B39F3" w:rsidRDefault="00DC4FB6" w:rsidP="002859E4">
      <w:pPr>
        <w:spacing w:line="360" w:lineRule="auto"/>
        <w:rPr>
          <w:rFonts w:eastAsia="Arial" w:cs="Arial"/>
        </w:rPr>
      </w:pPr>
      <w:r w:rsidRPr="000B39F3">
        <w:rPr>
          <w:rFonts w:eastAsia="Arial" w:cs="Arial"/>
        </w:rPr>
        <w:t>S</w:t>
      </w:r>
      <w:r w:rsidR="001145E8" w:rsidRPr="000B39F3">
        <w:rPr>
          <w:rFonts w:eastAsia="Arial" w:cs="Arial"/>
        </w:rPr>
        <w:t>ystematic/</w:t>
      </w:r>
      <w:proofErr w:type="spellStart"/>
      <w:r w:rsidR="001145E8" w:rsidRPr="000B39F3">
        <w:rPr>
          <w:rFonts w:eastAsia="Arial" w:cs="Arial"/>
        </w:rPr>
        <w:t>lex</w:t>
      </w:r>
      <w:proofErr w:type="spellEnd"/>
      <w:r w:rsidR="00A11A78">
        <w:rPr>
          <w:rFonts w:eastAsia="Arial" w:cs="Arial"/>
        </w:rPr>
        <w:t xml:space="preserve"> </w:t>
      </w:r>
      <w:proofErr w:type="spellStart"/>
      <w:r w:rsidR="001145E8" w:rsidRPr="000B39F3">
        <w:rPr>
          <w:rFonts w:eastAsia="Arial" w:cs="Arial"/>
        </w:rPr>
        <w:t>specialis</w:t>
      </w:r>
      <w:proofErr w:type="spellEnd"/>
    </w:p>
    <w:p w14:paraId="3AF3F4A6" w14:textId="344BF0A0" w:rsidR="001145E8" w:rsidRPr="000B39F3" w:rsidRDefault="001145E8" w:rsidP="002859E4">
      <w:pPr>
        <w:spacing w:line="360" w:lineRule="auto"/>
        <w:rPr>
          <w:b/>
          <w:bCs/>
        </w:rPr>
      </w:pPr>
      <w:r w:rsidRPr="000B39F3">
        <w:rPr>
          <w:rFonts w:eastAsia="Arial" w:cs="Arial"/>
        </w:rPr>
        <w:t>Directive 2009/24 constitutes a </w:t>
      </w:r>
      <w:proofErr w:type="spellStart"/>
      <w:r w:rsidRPr="000B39F3">
        <w:rPr>
          <w:rFonts w:eastAsia="Arial" w:cs="Arial"/>
          <w:i/>
        </w:rPr>
        <w:t>lex</w:t>
      </w:r>
      <w:proofErr w:type="spellEnd"/>
      <w:r w:rsidR="00B201F7">
        <w:rPr>
          <w:rFonts w:eastAsia="Arial" w:cs="Arial"/>
          <w:i/>
        </w:rPr>
        <w:t xml:space="preserve"> </w:t>
      </w:r>
      <w:proofErr w:type="spellStart"/>
      <w:r w:rsidRPr="000B39F3">
        <w:rPr>
          <w:rFonts w:eastAsia="Arial" w:cs="Arial"/>
          <w:i/>
        </w:rPr>
        <w:t>specialis</w:t>
      </w:r>
      <w:proofErr w:type="spellEnd"/>
      <w:r w:rsidRPr="000B39F3">
        <w:rPr>
          <w:rFonts w:eastAsia="Arial" w:cs="Arial"/>
        </w:rPr>
        <w:t> in relation to the provisions of Directive 2001/29</w:t>
      </w:r>
      <w:r w:rsidR="00B201F7">
        <w:rPr>
          <w:rFonts w:eastAsia="Arial" w:cs="Arial"/>
        </w:rPr>
        <w:t xml:space="preserve"> (23)</w:t>
      </w:r>
    </w:p>
    <w:p w14:paraId="3BFD47D1" w14:textId="77777777" w:rsidR="009D0CC2" w:rsidRPr="000B39F3" w:rsidRDefault="009D0CC2" w:rsidP="009D0CC2">
      <w:pPr>
        <w:spacing w:line="276" w:lineRule="auto"/>
        <w:rPr>
          <w:rFonts w:eastAsia="Arial" w:cs="Arial"/>
        </w:rPr>
      </w:pPr>
    </w:p>
    <w:p w14:paraId="7EB8E9A6" w14:textId="77777777" w:rsidR="0035446E" w:rsidRPr="000B39F3" w:rsidRDefault="00316F8F" w:rsidP="009D0CC2">
      <w:pPr>
        <w:spacing w:line="276" w:lineRule="auto"/>
        <w:rPr>
          <w:rFonts w:eastAsia="Arial" w:cs="Arial"/>
        </w:rPr>
      </w:pPr>
      <w:r w:rsidRPr="000B39F3">
        <w:rPr>
          <w:rFonts w:eastAsia="Arial" w:cs="Arial"/>
        </w:rPr>
        <w:t>Outcome (favourable to right holder)</w:t>
      </w:r>
    </w:p>
    <w:p w14:paraId="16E88583" w14:textId="77777777" w:rsidR="00D67BD5" w:rsidRPr="000B39F3" w:rsidRDefault="001E712E" w:rsidP="00F427B8">
      <w:pPr>
        <w:spacing w:line="360" w:lineRule="auto"/>
        <w:rPr>
          <w:rStyle w:val="apple-converted-space"/>
          <w:color w:val="333333"/>
          <w:shd w:val="clear" w:color="auto" w:fill="FFFFFF"/>
        </w:rPr>
      </w:pPr>
      <w:r w:rsidRPr="000B39F3">
        <w:rPr>
          <w:rFonts w:eastAsia="Arial" w:cs="Arial"/>
        </w:rPr>
        <w:t xml:space="preserve">Main </w:t>
      </w:r>
      <w:r w:rsidR="00274315" w:rsidRPr="000B39F3">
        <w:rPr>
          <w:rFonts w:eastAsia="Arial" w:cs="Arial"/>
        </w:rPr>
        <w:t>Question: ‘</w:t>
      </w:r>
      <w:r w:rsidR="00274315" w:rsidRPr="000B39F3">
        <w:rPr>
          <w:shd w:val="clear" w:color="auto" w:fill="FFFFFF"/>
        </w:rPr>
        <w:t>Must Article 6 of Directive 2001/29/EC be interpreted… as meaning that the protection of technological protection measures … may also extend to a system… in which a device is installed in the hardware which is capable of recognising on a separate housing mechanism containing the protected works</w:t>
      </w:r>
      <w:r w:rsidR="00274315" w:rsidRPr="000B39F3">
        <w:rPr>
          <w:rStyle w:val="apple-converted-space"/>
          <w:color w:val="333333"/>
          <w:shd w:val="clear" w:color="auto" w:fill="FFFFFF"/>
        </w:rPr>
        <w:t>…</w:t>
      </w:r>
      <w:proofErr w:type="gramStart"/>
      <w:r w:rsidR="00274315" w:rsidRPr="000B39F3">
        <w:rPr>
          <w:rStyle w:val="apple-converted-space"/>
          <w:color w:val="333333"/>
          <w:shd w:val="clear" w:color="auto" w:fill="FFFFFF"/>
        </w:rPr>
        <w:t>’?</w:t>
      </w:r>
      <w:proofErr w:type="gramEnd"/>
    </w:p>
    <w:p w14:paraId="71569DF8" w14:textId="11744357" w:rsidR="00274315" w:rsidRPr="00F427B8" w:rsidRDefault="00274315" w:rsidP="00F427B8">
      <w:pPr>
        <w:spacing w:line="360" w:lineRule="auto"/>
        <w:rPr>
          <w:shd w:val="clear" w:color="auto" w:fill="FFFFFF"/>
        </w:rPr>
      </w:pPr>
      <w:r w:rsidRPr="000B39F3">
        <w:rPr>
          <w:rStyle w:val="apple-converted-space"/>
          <w:color w:val="333333"/>
          <w:shd w:val="clear" w:color="auto" w:fill="FFFFFF"/>
        </w:rPr>
        <w:t>Ruling:</w:t>
      </w:r>
      <w:r w:rsidR="005818AE">
        <w:rPr>
          <w:rStyle w:val="apple-converted-space"/>
          <w:color w:val="333333"/>
          <w:shd w:val="clear" w:color="auto" w:fill="FFFFFF"/>
        </w:rPr>
        <w:t xml:space="preserve"> </w:t>
      </w:r>
      <w:r w:rsidR="00F427B8" w:rsidRPr="000B39F3">
        <w:rPr>
          <w:shd w:val="clear" w:color="auto" w:fill="FFFFFF"/>
        </w:rPr>
        <w:t>‘</w:t>
      </w:r>
      <w:r w:rsidR="00A64859" w:rsidRPr="000B39F3">
        <w:rPr>
          <w:shd w:val="clear" w:color="auto" w:fill="FFFFFF"/>
        </w:rPr>
        <w:t>for the purposes of Article 6(3) of that directive, is capable of covering technological measures comprising, principally, equipping not only the housing system containing the protected work…with a recognition device in order to protect it against acts not authorised by the holder of any copyright, but also portable equipment or consoles intended to ensure access to those games and their use’.</w:t>
      </w:r>
    </w:p>
    <w:p w14:paraId="22F739D1" w14:textId="77777777" w:rsidR="00BE5B50" w:rsidRPr="00F427B8" w:rsidRDefault="00BE5B50" w:rsidP="00F427B8">
      <w:pPr>
        <w:spacing w:line="360" w:lineRule="auto"/>
      </w:pPr>
    </w:p>
    <w:sectPr w:rsidR="00BE5B50" w:rsidRPr="00F427B8" w:rsidSect="00920A3C">
      <w:footerReference w:type="even" r:id="rId21"/>
      <w:footerReference w:type="default" r:id="rId22"/>
      <w:type w:val="continuous"/>
      <w:pgSz w:w="11906" w:h="16838"/>
      <w:pgMar w:top="1134" w:right="1133" w:bottom="1134" w:left="1134" w:header="720" w:footer="720" w:gutter="0"/>
      <w:cols w:space="720"/>
      <w:formProt w:val="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F082E" w14:textId="77777777" w:rsidR="003C568B" w:rsidRDefault="003C568B">
      <w:pPr>
        <w:spacing w:after="0"/>
      </w:pPr>
      <w:r>
        <w:separator/>
      </w:r>
    </w:p>
  </w:endnote>
  <w:endnote w:type="continuationSeparator" w:id="0">
    <w:p w14:paraId="58E8E18A" w14:textId="77777777" w:rsidR="003C568B" w:rsidRDefault="003C56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80000287" w:usb1="2A0F3C52" w:usb2="00000016" w:usb3="00000000" w:csb0="0004001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51358" w14:textId="77777777" w:rsidR="003C568B" w:rsidRDefault="003C568B" w:rsidP="00920A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A3CE0B" w14:textId="77777777" w:rsidR="003C568B" w:rsidRDefault="003C568B" w:rsidP="00920A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68522" w14:textId="77777777" w:rsidR="003C568B" w:rsidRDefault="003C568B" w:rsidP="00920A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5F6E">
      <w:rPr>
        <w:rStyle w:val="PageNumber"/>
        <w:noProof/>
      </w:rPr>
      <w:t>39</w:t>
    </w:r>
    <w:r>
      <w:rPr>
        <w:rStyle w:val="PageNumber"/>
      </w:rPr>
      <w:fldChar w:fldCharType="end"/>
    </w:r>
  </w:p>
  <w:p w14:paraId="20CE4990" w14:textId="77777777" w:rsidR="003C568B" w:rsidRDefault="003C568B" w:rsidP="00920A3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99616" w14:textId="77777777" w:rsidR="003C568B" w:rsidRDefault="003C568B">
      <w:pPr>
        <w:spacing w:after="0"/>
      </w:pPr>
      <w:r>
        <w:separator/>
      </w:r>
    </w:p>
  </w:footnote>
  <w:footnote w:type="continuationSeparator" w:id="0">
    <w:p w14:paraId="52511325" w14:textId="77777777" w:rsidR="003C568B" w:rsidRDefault="003C568B">
      <w:pPr>
        <w:spacing w:after="0"/>
      </w:pPr>
      <w:r>
        <w:continuationSeparator/>
      </w:r>
    </w:p>
  </w:footnote>
  <w:footnote w:id="1">
    <w:p w14:paraId="646C74CA" w14:textId="43C22FD2" w:rsidR="003C568B" w:rsidRPr="00595E70" w:rsidRDefault="003C568B" w:rsidP="00351398">
      <w:pPr>
        <w:pStyle w:val="Footnote"/>
      </w:pPr>
      <w:r w:rsidRPr="00F90BDA">
        <w:rPr>
          <w:rStyle w:val="FootnoteReference"/>
        </w:rPr>
        <w:t>*</w:t>
      </w:r>
      <w:r w:rsidRPr="00F90BDA">
        <w:t xml:space="preserve"> Marcella </w:t>
      </w:r>
      <w:proofErr w:type="spellStart"/>
      <w:r w:rsidRPr="00F90BDA">
        <w:t>Favale</w:t>
      </w:r>
      <w:proofErr w:type="spellEnd"/>
      <w:r w:rsidRPr="00F90BDA">
        <w:t xml:space="preserve"> is Research Fellow, Centre for Intellectual Property Policy and Management (CIPPM), Bournemouth University; Martin </w:t>
      </w:r>
      <w:proofErr w:type="spellStart"/>
      <w:r w:rsidRPr="00F90BDA">
        <w:t>Kretschmer</w:t>
      </w:r>
      <w:proofErr w:type="spellEnd"/>
      <w:r w:rsidRPr="00F90BDA">
        <w:t xml:space="preserve"> is Professor of Intellectual Property Law, University of Glasgow and Director of the RCUK Centre for Copyright and New Business Models in the Creative Economy (</w:t>
      </w:r>
      <w:proofErr w:type="spellStart"/>
      <w:r w:rsidRPr="00F90BDA">
        <w:t>CREATe</w:t>
      </w:r>
      <w:proofErr w:type="spellEnd"/>
      <w:r w:rsidRPr="00F90BDA">
        <w:t xml:space="preserve">); Paul </w:t>
      </w:r>
      <w:proofErr w:type="spellStart"/>
      <w:r w:rsidRPr="00F90BDA">
        <w:t>Torremans</w:t>
      </w:r>
      <w:proofErr w:type="spellEnd"/>
      <w:r w:rsidRPr="00F90BDA">
        <w:t xml:space="preserve"> is Professor of Intellectual Property Law, University of Nottingham. We are grateful to Kris Erickson, Andrew McHugh, </w:t>
      </w:r>
      <w:proofErr w:type="spellStart"/>
      <w:r w:rsidRPr="00F90BDA">
        <w:t>Jaakko</w:t>
      </w:r>
      <w:proofErr w:type="spellEnd"/>
      <w:r w:rsidRPr="00F90BDA">
        <w:t xml:space="preserve"> </w:t>
      </w:r>
      <w:proofErr w:type="spellStart"/>
      <w:r w:rsidRPr="00F90BDA">
        <w:t>Miettinen</w:t>
      </w:r>
      <w:proofErr w:type="spellEnd"/>
      <w:r w:rsidRPr="00F90BDA">
        <w:t xml:space="preserve"> and </w:t>
      </w:r>
      <w:proofErr w:type="spellStart"/>
      <w:r w:rsidRPr="00F90BDA">
        <w:t>Sukhpreet</w:t>
      </w:r>
      <w:proofErr w:type="spellEnd"/>
      <w:r w:rsidRPr="00F90BDA">
        <w:t xml:space="preserve"> Singh at the </w:t>
      </w:r>
      <w:proofErr w:type="spellStart"/>
      <w:r w:rsidRPr="00F90BDA">
        <w:t>CREATe</w:t>
      </w:r>
      <w:proofErr w:type="spellEnd"/>
      <w:r w:rsidRPr="00F90BDA">
        <w:t xml:space="preserve"> centre for comments and assistance with the statistical analysis, and to </w:t>
      </w:r>
      <w:r w:rsidR="006C699A">
        <w:t>four</w:t>
      </w:r>
      <w:r w:rsidRPr="00F90BDA">
        <w:t xml:space="preserve"> anonymous reviewers for Modern Law Review and EPIP 2015 (the annual conference of the European Policy for Intellectual Property Association). The research has been supported by </w:t>
      </w:r>
      <w:proofErr w:type="spellStart"/>
      <w:r w:rsidRPr="00F90BDA">
        <w:t>CREATe</w:t>
      </w:r>
      <w:proofErr w:type="spellEnd"/>
      <w:r w:rsidRPr="00F90BDA">
        <w:t>, AHRC Grant Number AH/K000179/1.</w:t>
      </w:r>
    </w:p>
  </w:footnote>
  <w:footnote w:id="2">
    <w:p w14:paraId="2FC96311" w14:textId="77777777" w:rsidR="003C568B" w:rsidRPr="00595E70" w:rsidRDefault="003C568B" w:rsidP="00351398">
      <w:pPr>
        <w:pStyle w:val="Footnote"/>
        <w:rPr>
          <w:shd w:val="clear" w:color="auto" w:fill="FFFFFF"/>
          <w:lang w:eastAsia="en-US"/>
        </w:rPr>
      </w:pPr>
      <w:r w:rsidRPr="00595E70">
        <w:rPr>
          <w:rStyle w:val="FootnoteReference"/>
        </w:rPr>
        <w:footnoteRef/>
      </w:r>
      <w:r>
        <w:tab/>
      </w:r>
      <w:r w:rsidRPr="00595E70">
        <w:rPr>
          <w:lang w:val="en-US"/>
        </w:rPr>
        <w:t xml:space="preserve">Throughout this article we use the abbreviation ECJ (European Court of Justice) to cover the various instantiations of the Court, </w:t>
      </w:r>
      <w:r w:rsidRPr="00595E70">
        <w:rPr>
          <w:shd w:val="clear" w:color="auto" w:fill="FFFFFF"/>
          <w:lang w:eastAsia="en-US"/>
        </w:rPr>
        <w:t>created in in 1952 as the Court of Justice of the European Coal and Steel Communities, then Court of Justice of the European Communities, and since 1 December 2009 (when the Treaty of Lisbon entered into force) the Court of Justice of the European Union (comprising the Court of Justice where all references for a preliminary ruling investigated in this study were heard), the General Court (since 1988) and the Civil Service Tribunal (since 2004).</w:t>
      </w:r>
    </w:p>
  </w:footnote>
  <w:footnote w:id="3">
    <w:p w14:paraId="5BEA5C6A" w14:textId="77777777" w:rsidR="003C568B" w:rsidRPr="00595E70" w:rsidRDefault="003C568B" w:rsidP="00351398">
      <w:pPr>
        <w:pStyle w:val="Footnote"/>
        <w:rPr>
          <w:lang w:val="en-US"/>
        </w:rPr>
      </w:pPr>
      <w:r w:rsidRPr="00595E70">
        <w:rPr>
          <w:rStyle w:val="FootnoteReference"/>
        </w:rPr>
        <w:footnoteRef/>
      </w:r>
      <w:r>
        <w:tab/>
      </w:r>
      <w:proofErr w:type="spellStart"/>
      <w:r w:rsidRPr="00595E70">
        <w:rPr>
          <w:lang w:val="en-US"/>
        </w:rPr>
        <w:t>Leistner</w:t>
      </w:r>
      <w:proofErr w:type="spellEnd"/>
      <w:r w:rsidRPr="00595E70">
        <w:rPr>
          <w:lang w:val="en-US"/>
        </w:rPr>
        <w:t xml:space="preserve"> calls this ‘a result of the waning of the political (i.e. legislative) possibilities to achieve a comprehensive copyright framework for the use of protected subject matter in the single market, in particular for digital and other pan-European networks’. </w:t>
      </w:r>
      <w:r w:rsidRPr="00595E70">
        <w:t xml:space="preserve">M. </w:t>
      </w:r>
      <w:proofErr w:type="spellStart"/>
      <w:r w:rsidRPr="00595E70">
        <w:t>Leistner</w:t>
      </w:r>
      <w:proofErr w:type="spellEnd"/>
      <w:r w:rsidRPr="00595E70">
        <w:t xml:space="preserve">, ‘Europe’s copyright law decade: Recent case law of the European Court of Justice and policy perspectives’ (2014) 51 </w:t>
      </w:r>
      <w:r w:rsidRPr="00595E70">
        <w:rPr>
          <w:i/>
        </w:rPr>
        <w:t>Common Market Law Review</w:t>
      </w:r>
      <w:r w:rsidRPr="00595E70">
        <w:t xml:space="preserve"> 2, 559–600, 599.</w:t>
      </w:r>
    </w:p>
  </w:footnote>
  <w:footnote w:id="4">
    <w:p w14:paraId="48E83529" w14:textId="0DC5F16F" w:rsidR="003C568B" w:rsidRPr="00595E70" w:rsidRDefault="003C568B" w:rsidP="00351398">
      <w:pPr>
        <w:pStyle w:val="Footnote"/>
        <w:rPr>
          <w:lang w:val="en-US"/>
        </w:rPr>
      </w:pPr>
      <w:r w:rsidRPr="00595E70">
        <w:rPr>
          <w:rStyle w:val="FootnoteReference"/>
        </w:rPr>
        <w:footnoteRef/>
      </w:r>
      <w:r>
        <w:tab/>
      </w:r>
      <w:r w:rsidRPr="00595E70">
        <w:t xml:space="preserve">J. Griffiths, ‘Dematerialization, Pragmatism and the European Copyright Revolution’ (2013) 33 </w:t>
      </w:r>
      <w:r w:rsidRPr="00595E70">
        <w:rPr>
          <w:i/>
        </w:rPr>
        <w:t>Oxford Journal of Legal Studies</w:t>
      </w:r>
      <w:r w:rsidRPr="00595E70">
        <w:t xml:space="preserve"> 4, 767-790</w:t>
      </w:r>
      <w:r w:rsidRPr="00595E70">
        <w:rPr>
          <w:lang w:val="en-US"/>
        </w:rPr>
        <w:t xml:space="preserve">: ‘The apparent equation of “work” with “creativity” in the Court’s jurisprudence threatens the maintenance of the “hybrid” and shifting concept of the “work” that has previously played a role in the law of this [UK] jurisdiction in the past. As a consequence, courts in this jurisdiction may have lost an important conceptual tool for placing limits on the scope of the powers granted under copyright law.’ </w:t>
      </w:r>
      <w:r w:rsidRPr="00595E70">
        <w:t xml:space="preserve">Griffiths also argues that the Court tends to refer in its rulings to the right to property based on human rights law. See J. Griffith, ‘Constitutionalising or harmonising? </w:t>
      </w:r>
      <w:proofErr w:type="gramStart"/>
      <w:r w:rsidRPr="00595E70">
        <w:t>The Court of Justice, the right to property and European copyright law</w:t>
      </w:r>
      <w:r>
        <w:t>’</w:t>
      </w:r>
      <w:r w:rsidRPr="00595E70">
        <w:t>, (2013) 38(1) ELR 65-78, 66.</w:t>
      </w:r>
      <w:proofErr w:type="gramEnd"/>
    </w:p>
  </w:footnote>
  <w:footnote w:id="5">
    <w:p w14:paraId="0F4C39E4" w14:textId="7DCBF59A" w:rsidR="003C568B" w:rsidRPr="00595E70" w:rsidRDefault="003C568B" w:rsidP="00351398">
      <w:pPr>
        <w:pStyle w:val="Footnote"/>
        <w:rPr>
          <w:lang w:val="en-US"/>
        </w:rPr>
      </w:pPr>
      <w:r w:rsidRPr="00595E70">
        <w:rPr>
          <w:rStyle w:val="FootnoteReference"/>
        </w:rPr>
        <w:footnoteRef/>
      </w:r>
      <w:r>
        <w:tab/>
      </w:r>
      <w:r w:rsidRPr="00595E70">
        <w:t xml:space="preserve">L. </w:t>
      </w:r>
      <w:proofErr w:type="spellStart"/>
      <w:r w:rsidRPr="00595E70">
        <w:t>Bently</w:t>
      </w:r>
      <w:proofErr w:type="spellEnd"/>
      <w:r w:rsidRPr="00595E70">
        <w:t xml:space="preserve">, ‘The return of industrial copyright?’ </w:t>
      </w:r>
      <w:proofErr w:type="gramStart"/>
      <w:r w:rsidRPr="00595E70">
        <w:t>(2012) 34(10) EIPR</w:t>
      </w:r>
      <w:r>
        <w:t xml:space="preserve"> </w:t>
      </w:r>
      <w:r w:rsidRPr="00595E70">
        <w:t>654-672, 663.</w:t>
      </w:r>
      <w:proofErr w:type="gramEnd"/>
    </w:p>
  </w:footnote>
  <w:footnote w:id="6">
    <w:p w14:paraId="7A55AB0E" w14:textId="77777777" w:rsidR="003C568B" w:rsidRPr="00595E70" w:rsidRDefault="003C568B" w:rsidP="00351398">
      <w:pPr>
        <w:pStyle w:val="Footnote"/>
        <w:rPr>
          <w:lang w:val="en-US"/>
        </w:rPr>
      </w:pPr>
      <w:r w:rsidRPr="00595E70">
        <w:rPr>
          <w:rStyle w:val="FootnoteReference"/>
        </w:rPr>
        <w:footnoteRef/>
      </w:r>
      <w:r>
        <w:tab/>
      </w:r>
      <w:r w:rsidRPr="00595E70">
        <w:t xml:space="preserve">M. </w:t>
      </w:r>
      <w:proofErr w:type="spellStart"/>
      <w:r w:rsidRPr="00595E70">
        <w:t>Leistner</w:t>
      </w:r>
      <w:proofErr w:type="spellEnd"/>
      <w:r w:rsidRPr="00595E70">
        <w:t xml:space="preserve">, ‘Europe’s copyright law decade: Recent case law of the European Court of Justice and policy perspectives’ (2014) 51 </w:t>
      </w:r>
      <w:r w:rsidRPr="00595E70">
        <w:rPr>
          <w:i/>
        </w:rPr>
        <w:t>Common Market Law Review</w:t>
      </w:r>
      <w:r w:rsidRPr="00595E70">
        <w:t xml:space="preserve"> 2, 559–600, 598.</w:t>
      </w:r>
    </w:p>
  </w:footnote>
  <w:footnote w:id="7">
    <w:p w14:paraId="43902003" w14:textId="42228692" w:rsidR="003C568B" w:rsidRPr="00595E70" w:rsidRDefault="003C568B" w:rsidP="00351398">
      <w:pPr>
        <w:pStyle w:val="Footnote"/>
      </w:pPr>
      <w:r w:rsidRPr="00595E70">
        <w:rPr>
          <w:rStyle w:val="FootnoteReference"/>
        </w:rPr>
        <w:footnoteRef/>
      </w:r>
      <w:r>
        <w:tab/>
      </w:r>
      <w:r w:rsidRPr="00595E70">
        <w:t xml:space="preserve">M. </w:t>
      </w:r>
      <w:proofErr w:type="gramStart"/>
      <w:r w:rsidRPr="00595E70">
        <w:t>van</w:t>
      </w:r>
      <w:proofErr w:type="gramEnd"/>
      <w:r w:rsidRPr="00595E70">
        <w:t xml:space="preserve"> </w:t>
      </w:r>
      <w:proofErr w:type="spellStart"/>
      <w:r w:rsidRPr="00595E70">
        <w:t>Eechoud</w:t>
      </w:r>
      <w:proofErr w:type="spellEnd"/>
      <w:r w:rsidRPr="00595E70">
        <w:t>,</w:t>
      </w:r>
      <w:r>
        <w:t xml:space="preserve"> ‘Along the Road to Uniformity –</w:t>
      </w:r>
      <w:r w:rsidRPr="00595E70">
        <w:t xml:space="preserve"> Diverse Readings of the Court of Justice Judgments on Copyright Work’ (2012) JIPITEC 1, 83.</w:t>
      </w:r>
    </w:p>
    <w:p w14:paraId="0B28EA89" w14:textId="77777777" w:rsidR="003C568B" w:rsidRPr="00595E70" w:rsidRDefault="003C568B" w:rsidP="00351398">
      <w:pPr>
        <w:pStyle w:val="Footnote"/>
        <w:rPr>
          <w:lang w:val="en-US"/>
        </w:rPr>
      </w:pPr>
    </w:p>
  </w:footnote>
  <w:footnote w:id="8">
    <w:p w14:paraId="3BBA3C46" w14:textId="77777777" w:rsidR="003C568B" w:rsidRPr="00595E70" w:rsidRDefault="003C568B" w:rsidP="00351398">
      <w:pPr>
        <w:pStyle w:val="Footnote"/>
      </w:pPr>
      <w:r w:rsidRPr="00595E70">
        <w:rPr>
          <w:rStyle w:val="FootnoteReference"/>
        </w:rPr>
        <w:footnoteRef/>
      </w:r>
      <w:r>
        <w:tab/>
      </w:r>
      <w:r w:rsidRPr="00595E70">
        <w:t xml:space="preserve">B. Beebe, ‘An Empirical Study of U.S. Copyright Fair Use Opinions’, (2008) 156 </w:t>
      </w:r>
      <w:r w:rsidRPr="00595E70">
        <w:rPr>
          <w:i/>
        </w:rPr>
        <w:t>Pennsylvania Law Review</w:t>
      </w:r>
      <w:r w:rsidRPr="00595E70">
        <w:t xml:space="preserve"> 549; B. Beebe, ‘An Empirical Study of the Multifactor Tests for Trademark Infringement’, (2006) 95 </w:t>
      </w:r>
      <w:r w:rsidRPr="00595E70">
        <w:rPr>
          <w:i/>
        </w:rPr>
        <w:t>California Law Review</w:t>
      </w:r>
      <w:r w:rsidRPr="00595E70">
        <w:t xml:space="preserve"> 1581; M. Sag, ‘Predicting Fair Use’ (2012) 73(1) </w:t>
      </w:r>
      <w:r w:rsidRPr="00595E70">
        <w:rPr>
          <w:i/>
        </w:rPr>
        <w:t>Ohio State Law Journal</w:t>
      </w:r>
      <w:r w:rsidRPr="00595E70">
        <w:t xml:space="preserve"> 47-91.</w:t>
      </w:r>
    </w:p>
  </w:footnote>
  <w:footnote w:id="9">
    <w:p w14:paraId="72A70D3D" w14:textId="77777777" w:rsidR="003C568B" w:rsidRPr="00595E70" w:rsidRDefault="003C568B" w:rsidP="00351398">
      <w:pPr>
        <w:pStyle w:val="Footnote"/>
      </w:pPr>
      <w:r w:rsidRPr="00595E70">
        <w:rPr>
          <w:vertAlign w:val="superscript"/>
        </w:rPr>
        <w:t>3</w:t>
      </w:r>
      <w:r w:rsidRPr="00595E70">
        <w:tab/>
        <w:t xml:space="preserve">J. </w:t>
      </w:r>
      <w:proofErr w:type="spellStart"/>
      <w:r w:rsidRPr="00595E70">
        <w:t>Bengoetxea</w:t>
      </w:r>
      <w:proofErr w:type="spellEnd"/>
      <w:r w:rsidRPr="00595E70">
        <w:t>, The Legal Reasoning of the European Court of Justice: Towards a European Jurisprudence (Oxford/New York: Clarendon 1993)</w:t>
      </w:r>
      <w:proofErr w:type="gramStart"/>
      <w:r w:rsidRPr="00595E70">
        <w:t>;</w:t>
      </w:r>
      <w:proofErr w:type="gramEnd"/>
      <w:r w:rsidRPr="00595E70">
        <w:t xml:space="preserve"> G. Beck, The Legal Reasoning of the Court of Justice of the EU (Oxford: Hart Publishing 2012). The ambiguity of European law is produced by the nature of the legal instrument at hand (directives often provide frameworks rather than defined norms) and by the multicultural nature of European legislators.</w:t>
      </w:r>
    </w:p>
  </w:footnote>
  <w:footnote w:id="10">
    <w:p w14:paraId="0DB3C5C3" w14:textId="77777777" w:rsidR="003C568B" w:rsidRPr="00595E70" w:rsidRDefault="003C568B" w:rsidP="00351398">
      <w:pPr>
        <w:pStyle w:val="Footnote"/>
        <w:rPr>
          <w:lang w:eastAsia="en-US"/>
        </w:rPr>
      </w:pPr>
      <w:r w:rsidRPr="00595E70">
        <w:rPr>
          <w:rStyle w:val="FootnoteReference"/>
        </w:rPr>
        <w:footnoteRef/>
      </w:r>
      <w:r w:rsidRPr="00595E70">
        <w:tab/>
        <w:t xml:space="preserve">C-92/92 - </w:t>
      </w:r>
      <w:r w:rsidRPr="004142D7">
        <w:rPr>
          <w:i/>
        </w:rPr>
        <w:t xml:space="preserve">Collins </w:t>
      </w:r>
      <w:proofErr w:type="gramStart"/>
      <w:r w:rsidRPr="004142D7">
        <w:rPr>
          <w:i/>
        </w:rPr>
        <w:t>et</w:t>
      </w:r>
      <w:proofErr w:type="gramEnd"/>
      <w:r w:rsidRPr="004142D7">
        <w:rPr>
          <w:i/>
        </w:rPr>
        <w:t xml:space="preserve"> Patricia </w:t>
      </w:r>
      <w:proofErr w:type="spellStart"/>
      <w:r w:rsidRPr="004142D7">
        <w:rPr>
          <w:i/>
        </w:rPr>
        <w:t>Im</w:t>
      </w:r>
      <w:proofErr w:type="spellEnd"/>
      <w:r w:rsidRPr="004142D7">
        <w:rPr>
          <w:i/>
        </w:rPr>
        <w:t xml:space="preserve">- und Export / </w:t>
      </w:r>
      <w:proofErr w:type="spellStart"/>
      <w:r w:rsidRPr="004142D7">
        <w:rPr>
          <w:i/>
        </w:rPr>
        <w:t>Imtrat</w:t>
      </w:r>
      <w:proofErr w:type="spellEnd"/>
      <w:r w:rsidRPr="004142D7">
        <w:rPr>
          <w:i/>
        </w:rPr>
        <w:t xml:space="preserve"> et EMI </w:t>
      </w:r>
      <w:proofErr w:type="spellStart"/>
      <w:r w:rsidRPr="004142D7">
        <w:rPr>
          <w:i/>
        </w:rPr>
        <w:t>Electrola</w:t>
      </w:r>
      <w:proofErr w:type="spellEnd"/>
      <w:r w:rsidRPr="00595E70">
        <w:t xml:space="preserve"> [1993] I-05145</w:t>
      </w:r>
      <w:r w:rsidRPr="00595E70">
        <w:rPr>
          <w:rFonts w:cs="Arial"/>
        </w:rPr>
        <w:t xml:space="preserve"> (</w:t>
      </w:r>
      <w:r w:rsidRPr="00595E70">
        <w:rPr>
          <w:lang w:eastAsia="en-US"/>
        </w:rPr>
        <w:t>whether the general principle of non-discrimination laid down in the EC Treaty applies to copyright and related rights).</w:t>
      </w:r>
    </w:p>
  </w:footnote>
  <w:footnote w:id="11">
    <w:p w14:paraId="44B69332" w14:textId="77777777" w:rsidR="003C568B" w:rsidRPr="00595E70" w:rsidRDefault="003C568B" w:rsidP="00351398">
      <w:pPr>
        <w:pStyle w:val="Footnote"/>
        <w:rPr>
          <w:lang w:val="en-US"/>
        </w:rPr>
      </w:pPr>
      <w:r w:rsidRPr="00595E70">
        <w:rPr>
          <w:rStyle w:val="FootnoteReference"/>
        </w:rPr>
        <w:footnoteRef/>
      </w:r>
      <w:r>
        <w:tab/>
        <w:t xml:space="preserve">C-466/12 - </w:t>
      </w:r>
      <w:proofErr w:type="spellStart"/>
      <w:r w:rsidRPr="004142D7">
        <w:rPr>
          <w:i/>
        </w:rPr>
        <w:t>Svensson</w:t>
      </w:r>
      <w:proofErr w:type="spellEnd"/>
      <w:r w:rsidRPr="00595E70">
        <w:t xml:space="preserve"> (ECLI</w:t>
      </w:r>
      <w:proofErr w:type="gramStart"/>
      <w:r w:rsidRPr="00595E70">
        <w:t>:EU:C:2014:76</w:t>
      </w:r>
      <w:proofErr w:type="gramEnd"/>
      <w:r w:rsidRPr="00595E70">
        <w:t>)</w:t>
      </w:r>
      <w:r w:rsidRPr="00595E70">
        <w:rPr>
          <w:rFonts w:cs="Arial"/>
        </w:rPr>
        <w:t xml:space="preserve"> (</w:t>
      </w:r>
      <w:r w:rsidRPr="00595E70">
        <w:t>whether hyperlinking constitutes an act of communication to the public).</w:t>
      </w:r>
    </w:p>
  </w:footnote>
  <w:footnote w:id="12">
    <w:p w14:paraId="03FA9F1E" w14:textId="6B1CC449" w:rsidR="003C568B" w:rsidRPr="00A7027B" w:rsidRDefault="003C568B" w:rsidP="000B39F3">
      <w:pPr>
        <w:pStyle w:val="Footnote"/>
        <w:rPr>
          <w:lang w:val="en-US"/>
        </w:rPr>
      </w:pPr>
      <w:r w:rsidRPr="000B39F3">
        <w:rPr>
          <w:rStyle w:val="FootnoteReference"/>
        </w:rPr>
        <w:footnoteRef/>
      </w:r>
      <w:r w:rsidRPr="000B39F3">
        <w:t xml:space="preserve"> </w:t>
      </w:r>
      <w:r>
        <w:tab/>
      </w:r>
      <w:r w:rsidRPr="000B39F3">
        <w:rPr>
          <w:lang w:val="en-US"/>
        </w:rPr>
        <w:t>Please note that an activist</w:t>
      </w:r>
      <w:r>
        <w:rPr>
          <w:lang w:val="en-US"/>
        </w:rPr>
        <w:t>,</w:t>
      </w:r>
      <w:r w:rsidRPr="000B39F3">
        <w:rPr>
          <w:lang w:val="en-US"/>
        </w:rPr>
        <w:t xml:space="preserve"> </w:t>
      </w:r>
      <w:proofErr w:type="spellStart"/>
      <w:r w:rsidRPr="000B39F3">
        <w:rPr>
          <w:lang w:val="en-US"/>
        </w:rPr>
        <w:t>harmonising</w:t>
      </w:r>
      <w:proofErr w:type="spellEnd"/>
      <w:r w:rsidRPr="000B39F3">
        <w:rPr>
          <w:lang w:val="en-US"/>
        </w:rPr>
        <w:t xml:space="preserve"> agenda is not equated with either a broad or narrow construction of the key concept, nor an expansionist outcome (</w:t>
      </w:r>
      <w:proofErr w:type="spellStart"/>
      <w:r w:rsidRPr="000B39F3">
        <w:rPr>
          <w:lang w:val="en-US"/>
        </w:rPr>
        <w:t>favouring</w:t>
      </w:r>
      <w:proofErr w:type="spellEnd"/>
      <w:r w:rsidRPr="000B39F3">
        <w:rPr>
          <w:lang w:val="en-US"/>
        </w:rPr>
        <w:t xml:space="preserve"> </w:t>
      </w:r>
      <w:proofErr w:type="spellStart"/>
      <w:r w:rsidRPr="000B39F3">
        <w:rPr>
          <w:lang w:val="en-US"/>
        </w:rPr>
        <w:t>rightholders</w:t>
      </w:r>
      <w:proofErr w:type="spellEnd"/>
      <w:r w:rsidRPr="000B39F3">
        <w:rPr>
          <w:lang w:val="en-US"/>
        </w:rPr>
        <w:t xml:space="preserve">). Incoherence and expansionism are tested separately. </w:t>
      </w:r>
      <w:r w:rsidRPr="000B39F3">
        <w:t xml:space="preserve">As we shall see, the same argument (high protection for the author) and the same approach (teleological) on the same concept (communication to the public from the </w:t>
      </w:r>
      <w:proofErr w:type="spellStart"/>
      <w:r w:rsidRPr="000B39F3">
        <w:t>InfoSoc</w:t>
      </w:r>
      <w:proofErr w:type="spellEnd"/>
      <w:r w:rsidRPr="000B39F3">
        <w:t xml:space="preserve"> directive 2001/29/EC) can lead to opposite outcomes (e.g. in the cases of </w:t>
      </w:r>
      <w:r w:rsidRPr="000B39F3">
        <w:rPr>
          <w:i/>
        </w:rPr>
        <w:t>OSA</w:t>
      </w:r>
      <w:r w:rsidRPr="000B39F3">
        <w:t xml:space="preserve"> </w:t>
      </w:r>
      <w:r w:rsidRPr="000B39F3">
        <w:rPr>
          <w:lang w:val="it-IT"/>
        </w:rPr>
        <w:t xml:space="preserve">C-351/12 </w:t>
      </w:r>
      <w:r w:rsidRPr="000B39F3">
        <w:t xml:space="preserve">and </w:t>
      </w:r>
      <w:proofErr w:type="spellStart"/>
      <w:r w:rsidRPr="000B39F3">
        <w:rPr>
          <w:i/>
        </w:rPr>
        <w:t>Svensson</w:t>
      </w:r>
      <w:proofErr w:type="spellEnd"/>
      <w:r w:rsidRPr="000B39F3">
        <w:rPr>
          <w:i/>
        </w:rPr>
        <w:t xml:space="preserve"> </w:t>
      </w:r>
      <w:r w:rsidRPr="000B39F3">
        <w:t>C-466/12).</w:t>
      </w:r>
    </w:p>
  </w:footnote>
  <w:footnote w:id="13">
    <w:p w14:paraId="2B39B856" w14:textId="77777777" w:rsidR="003C568B" w:rsidRPr="00595E70" w:rsidRDefault="003C568B" w:rsidP="00351398">
      <w:pPr>
        <w:pStyle w:val="Footnote"/>
      </w:pPr>
      <w:r w:rsidRPr="00595E70">
        <w:rPr>
          <w:rStyle w:val="FootnoteReference"/>
        </w:rPr>
        <w:footnoteRef/>
      </w:r>
      <w:r w:rsidRPr="00595E70">
        <w:tab/>
        <w:t>L. Conant</w:t>
      </w:r>
      <w:r w:rsidRPr="00595E70">
        <w:rPr>
          <w:i/>
        </w:rPr>
        <w:t>, Justice Contained. Law and Politics in the European Union</w:t>
      </w:r>
      <w:r w:rsidRPr="00595E70">
        <w:t xml:space="preserve"> (Ithaca, N.Y.: Cornell University Press 2002), 7-10. See C. </w:t>
      </w:r>
      <w:proofErr w:type="spellStart"/>
      <w:r w:rsidRPr="00595E70">
        <w:t>Carrubba</w:t>
      </w:r>
      <w:proofErr w:type="spellEnd"/>
      <w:r w:rsidRPr="00595E70">
        <w:t xml:space="preserve">, M. Gabel, and C. </w:t>
      </w:r>
      <w:proofErr w:type="spellStart"/>
      <w:r w:rsidRPr="00595E70">
        <w:t>Hankla</w:t>
      </w:r>
      <w:proofErr w:type="spellEnd"/>
      <w:r w:rsidRPr="00595E70">
        <w:t xml:space="preserve">, ‘Judicial Behaviour under Political Constraints: Evidence from the European Court of Justice’ (2008) 102(4) </w:t>
      </w:r>
      <w:r w:rsidRPr="00595E70">
        <w:rPr>
          <w:i/>
        </w:rPr>
        <w:t>American Political Science Review</w:t>
      </w:r>
      <w:r w:rsidRPr="00595E70">
        <w:t xml:space="preserve"> 435-452, 450.</w:t>
      </w:r>
    </w:p>
  </w:footnote>
  <w:footnote w:id="14">
    <w:p w14:paraId="6061868B" w14:textId="77777777" w:rsidR="003C568B" w:rsidRPr="00595E70" w:rsidRDefault="003C568B" w:rsidP="00351398">
      <w:pPr>
        <w:pStyle w:val="Footnote"/>
      </w:pPr>
      <w:r w:rsidRPr="00595E70">
        <w:rPr>
          <w:rStyle w:val="FootnoteReference"/>
        </w:rPr>
        <w:footnoteRef/>
      </w:r>
      <w:r w:rsidRPr="00595E70">
        <w:tab/>
        <w:t xml:space="preserve">U. </w:t>
      </w:r>
      <w:proofErr w:type="spellStart"/>
      <w:r w:rsidRPr="00595E70">
        <w:t>Everling</w:t>
      </w:r>
      <w:proofErr w:type="spellEnd"/>
      <w:r w:rsidRPr="00595E70">
        <w:t xml:space="preserve">, ‘The Member States of the European Community before their Court of Justice’, (1984) 9 ELR 215-241. A. </w:t>
      </w:r>
      <w:proofErr w:type="spellStart"/>
      <w:r w:rsidRPr="00595E70">
        <w:t>Bredimas</w:t>
      </w:r>
      <w:proofErr w:type="spellEnd"/>
      <w:r w:rsidRPr="00595E70">
        <w:t xml:space="preserve">, </w:t>
      </w:r>
      <w:r w:rsidRPr="00595E70">
        <w:rPr>
          <w:i/>
        </w:rPr>
        <w:t>Methods of interpretation and Community Law</w:t>
      </w:r>
      <w:r w:rsidRPr="00595E70">
        <w:t xml:space="preserve"> (Oxford: North-Holland 1978), 145. For an examination of ECJ rulings in which the Court adjusts to the will of political institutions see V. </w:t>
      </w:r>
      <w:proofErr w:type="spellStart"/>
      <w:r w:rsidRPr="00595E70">
        <w:t>Hatzopoulos</w:t>
      </w:r>
      <w:proofErr w:type="spellEnd"/>
      <w:r w:rsidRPr="00595E70">
        <w:t>, ‘Actively talking to each other: the Court and the political institutions’, in E. Muir, M. Dawson and B. de Witte (</w:t>
      </w:r>
      <w:proofErr w:type="spellStart"/>
      <w:r w:rsidRPr="00595E70">
        <w:t>eds</w:t>
      </w:r>
      <w:proofErr w:type="spellEnd"/>
      <w:r w:rsidRPr="00595E70">
        <w:t xml:space="preserve">) </w:t>
      </w:r>
      <w:r w:rsidRPr="00595E70">
        <w:rPr>
          <w:i/>
        </w:rPr>
        <w:t>Judicial Activism at the European Court of Justice</w:t>
      </w:r>
      <w:r w:rsidRPr="00595E70">
        <w:t xml:space="preserve"> (</w:t>
      </w:r>
      <w:proofErr w:type="spellStart"/>
      <w:r w:rsidRPr="00595E70">
        <w:t>Cheltenam</w:t>
      </w:r>
      <w:proofErr w:type="spellEnd"/>
      <w:r w:rsidRPr="00595E70">
        <w:t>: Edward Elgar 2013), 133.</w:t>
      </w:r>
    </w:p>
  </w:footnote>
  <w:footnote w:id="15">
    <w:p w14:paraId="18737165" w14:textId="77777777" w:rsidR="003C568B" w:rsidRPr="00595E70" w:rsidRDefault="003C568B" w:rsidP="00351398">
      <w:pPr>
        <w:pStyle w:val="Footnote"/>
      </w:pPr>
      <w:r w:rsidRPr="00595E70">
        <w:rPr>
          <w:rStyle w:val="FootnoteReference"/>
        </w:rPr>
        <w:footnoteRef/>
      </w:r>
      <w:r w:rsidRPr="00595E70">
        <w:tab/>
        <w:t xml:space="preserve">See generally A. Stone Sweet and T. L. </w:t>
      </w:r>
      <w:proofErr w:type="spellStart"/>
      <w:r w:rsidRPr="00595E70">
        <w:t>Brunell</w:t>
      </w:r>
      <w:proofErr w:type="spellEnd"/>
      <w:r w:rsidRPr="00595E70">
        <w:t xml:space="preserve">, ‘How the European Legal System Works: Override, Non-Compliance, and Majoritarian Activism in International Regimes’ (SSRN 8 March 2011) at http://ssrn.com/abstract=1780902 (last visited 13 March 2014). </w:t>
      </w:r>
      <w:proofErr w:type="spellStart"/>
      <w:r w:rsidRPr="00595E70">
        <w:rPr>
          <w:lang w:val="fr-FR"/>
        </w:rPr>
        <w:t>Seealsogenerally</w:t>
      </w:r>
      <w:proofErr w:type="spellEnd"/>
      <w:r w:rsidRPr="00595E70">
        <w:rPr>
          <w:lang w:val="fr-FR"/>
        </w:rPr>
        <w:t xml:space="preserve"> the first </w:t>
      </w:r>
      <w:proofErr w:type="spellStart"/>
      <w:r w:rsidRPr="00595E70">
        <w:rPr>
          <w:lang w:val="fr-FR"/>
        </w:rPr>
        <w:t>worksuggesting</w:t>
      </w:r>
      <w:proofErr w:type="spellEnd"/>
      <w:r w:rsidRPr="00595E70">
        <w:rPr>
          <w:lang w:val="fr-FR"/>
        </w:rPr>
        <w:t xml:space="preserve"> ECJ </w:t>
      </w:r>
      <w:proofErr w:type="spellStart"/>
      <w:r w:rsidRPr="00595E70">
        <w:rPr>
          <w:lang w:val="fr-FR"/>
        </w:rPr>
        <w:t>activism</w:t>
      </w:r>
      <w:proofErr w:type="spellEnd"/>
      <w:r w:rsidRPr="00595E70">
        <w:rPr>
          <w:lang w:val="fr-FR"/>
        </w:rPr>
        <w:t xml:space="preserve">: J .P. Colin, </w:t>
      </w:r>
      <w:r w:rsidRPr="00595E70">
        <w:rPr>
          <w:i/>
          <w:lang w:val="fr-FR"/>
        </w:rPr>
        <w:t>Le gouvernement des juges dans les Communautés Européennes</w:t>
      </w:r>
      <w:r w:rsidRPr="00595E70">
        <w:rPr>
          <w:lang w:val="fr-FR"/>
        </w:rPr>
        <w:t xml:space="preserve"> (Paris: M. </w:t>
      </w:r>
      <w:proofErr w:type="spellStart"/>
      <w:r w:rsidRPr="00595E70">
        <w:rPr>
          <w:lang w:val="fr-FR"/>
        </w:rPr>
        <w:t>Pinchon</w:t>
      </w:r>
      <w:proofErr w:type="spellEnd"/>
      <w:r w:rsidRPr="00595E70">
        <w:rPr>
          <w:lang w:val="fr-FR"/>
        </w:rPr>
        <w:t xml:space="preserve"> et R. Durand-</w:t>
      </w:r>
      <w:proofErr w:type="spellStart"/>
      <w:r w:rsidRPr="00595E70">
        <w:rPr>
          <w:lang w:val="fr-FR"/>
        </w:rPr>
        <w:t>Auzias</w:t>
      </w:r>
      <w:proofErr w:type="spellEnd"/>
      <w:r w:rsidRPr="00595E70">
        <w:rPr>
          <w:lang w:val="fr-FR"/>
        </w:rPr>
        <w:t xml:space="preserve"> 1965). </w:t>
      </w:r>
      <w:r w:rsidRPr="00595E70">
        <w:t xml:space="preserve">Also generally H. Rasmussen, </w:t>
      </w:r>
      <w:r w:rsidRPr="00595E70">
        <w:rPr>
          <w:i/>
        </w:rPr>
        <w:t>On Law and Policy in the European Court of Justice</w:t>
      </w:r>
      <w:r w:rsidRPr="00595E70">
        <w:t xml:space="preserve"> (Copenhagen: </w:t>
      </w:r>
      <w:proofErr w:type="spellStart"/>
      <w:r w:rsidRPr="00595E70">
        <w:t>MartinusNijhoff</w:t>
      </w:r>
      <w:proofErr w:type="spellEnd"/>
      <w:r w:rsidRPr="00595E70">
        <w:t xml:space="preserve"> 1986) and H. Rasmussen, ‘Between Activism and Self-Restraint: a judicial Policy for the European Court’ (1988) 13 ELR 28-39, 34. For a recent work indicating the limits of the teleological approach of the Court see generally G. Conway, </w:t>
      </w:r>
      <w:r w:rsidRPr="00595E70">
        <w:rPr>
          <w:i/>
        </w:rPr>
        <w:t xml:space="preserve">The Limits of Legal Reasoning and the European Court of Justice </w:t>
      </w:r>
      <w:r w:rsidRPr="00595E70">
        <w:t xml:space="preserve">(Cambridge: CUP 2014). The author argues that the Court’s departure from most common interpretative approaches, </w:t>
      </w:r>
      <w:proofErr w:type="spellStart"/>
      <w:r w:rsidRPr="00595E70">
        <w:t>eg</w:t>
      </w:r>
      <w:proofErr w:type="spellEnd"/>
      <w:r w:rsidRPr="00595E70">
        <w:t xml:space="preserve"> the three-stage theory by McCormick D.N. and Summers R. in </w:t>
      </w:r>
      <w:r w:rsidRPr="00595E70">
        <w:rPr>
          <w:i/>
        </w:rPr>
        <w:t>Interpreting Statutes: a Comparative Study</w:t>
      </w:r>
      <w:r w:rsidRPr="00595E70">
        <w:t xml:space="preserve"> (Dartmouth: Aldershot 1991) is not justifiable by the originality of the EU scenario, and it suggests methods of adaptation of traditional interpretative techniques to the ECJ </w:t>
      </w:r>
      <w:proofErr w:type="gramStart"/>
      <w:r w:rsidRPr="00595E70">
        <w:t>case-law</w:t>
      </w:r>
      <w:proofErr w:type="gramEnd"/>
      <w:r w:rsidRPr="00595E70">
        <w:t xml:space="preserve">. See also E. Stein, ‘Lawyers, Judges and the Making of a Transnational Constitution’ (1981) 75(1) </w:t>
      </w:r>
      <w:r w:rsidRPr="00595E70">
        <w:rPr>
          <w:i/>
        </w:rPr>
        <w:t>American Journal of International Law</w:t>
      </w:r>
      <w:r w:rsidRPr="00595E70">
        <w:t xml:space="preserve"> 1-27, 25, arguing that the court (namely its judges and AGs) in accord with the Commission create a constitution for Europe.</w:t>
      </w:r>
    </w:p>
  </w:footnote>
  <w:footnote w:id="16">
    <w:p w14:paraId="1FD1DC93" w14:textId="77777777" w:rsidR="003C568B" w:rsidRPr="00595E70" w:rsidRDefault="003C568B" w:rsidP="00351398">
      <w:pPr>
        <w:pStyle w:val="Footnote"/>
      </w:pPr>
      <w:r w:rsidRPr="00595E70">
        <w:rPr>
          <w:rStyle w:val="FootnoteReference"/>
        </w:rPr>
        <w:footnoteRef/>
      </w:r>
      <w:r w:rsidRPr="00595E70">
        <w:tab/>
        <w:t xml:space="preserve">Conant n </w:t>
      </w:r>
      <w:r>
        <w:fldChar w:fldCharType="begin"/>
      </w:r>
      <w:r>
        <w:instrText xml:space="preserve"> NOTEREF _Ref382492033 \h  \* MERGEFORMAT </w:instrText>
      </w:r>
      <w:r>
        <w:fldChar w:fldCharType="separate"/>
      </w:r>
      <w:r w:rsidR="00B201F7">
        <w:t>12</w:t>
      </w:r>
      <w:r>
        <w:fldChar w:fldCharType="end"/>
      </w:r>
      <w:r w:rsidRPr="00595E70">
        <w:t xml:space="preserve"> above, 39.</w:t>
      </w:r>
    </w:p>
  </w:footnote>
  <w:footnote w:id="17">
    <w:p w14:paraId="5107C5AC" w14:textId="77777777" w:rsidR="003C568B" w:rsidRPr="00595E70" w:rsidRDefault="003C568B" w:rsidP="00351398">
      <w:pPr>
        <w:pStyle w:val="Footnote"/>
      </w:pPr>
      <w:r w:rsidRPr="00595E70">
        <w:rPr>
          <w:rStyle w:val="FootnoteReference"/>
        </w:rPr>
        <w:footnoteRef/>
      </w:r>
      <w:r w:rsidRPr="00595E70">
        <w:tab/>
        <w:t xml:space="preserve">A. Stone Sweet, ‘The European Court of Justice and the </w:t>
      </w:r>
      <w:proofErr w:type="spellStart"/>
      <w:r w:rsidRPr="00595E70">
        <w:t>judicialization</w:t>
      </w:r>
      <w:proofErr w:type="spellEnd"/>
      <w:r w:rsidRPr="00595E70">
        <w:t xml:space="preserve"> of EU governance’, (2010) 5(2) </w:t>
      </w:r>
      <w:r w:rsidRPr="00595E70">
        <w:rPr>
          <w:i/>
        </w:rPr>
        <w:t>Living Reviews in European Governance,</w:t>
      </w:r>
      <w:r w:rsidRPr="00595E70">
        <w:t xml:space="preserve"> 7. However, others argue that the ECJ judges are sensitive to policy constraints from Member States. </w:t>
      </w:r>
      <w:proofErr w:type="gramStart"/>
      <w:r w:rsidRPr="00595E70">
        <w:t xml:space="preserve">This thesis has been empirically demonstrated by </w:t>
      </w:r>
      <w:proofErr w:type="spellStart"/>
      <w:r w:rsidRPr="00595E70">
        <w:t>Carrubba</w:t>
      </w:r>
      <w:proofErr w:type="spellEnd"/>
      <w:r w:rsidRPr="00595E70">
        <w:t xml:space="preserve"> et al. n </w:t>
      </w:r>
      <w:r>
        <w:fldChar w:fldCharType="begin"/>
      </w:r>
      <w:r>
        <w:instrText xml:space="preserve"> NOTEREF _Ref382492033 \h  \* MERGEFORMAT </w:instrText>
      </w:r>
      <w:r>
        <w:fldChar w:fldCharType="separate"/>
      </w:r>
      <w:r w:rsidR="00B201F7">
        <w:t>12</w:t>
      </w:r>
      <w:r>
        <w:fldChar w:fldCharType="end"/>
      </w:r>
      <w:r w:rsidRPr="00595E70">
        <w:t xml:space="preserve"> above</w:t>
      </w:r>
      <w:proofErr w:type="gramEnd"/>
      <w:r w:rsidRPr="00595E70">
        <w:fldChar w:fldCharType="begin"/>
      </w:r>
      <w:r w:rsidRPr="00595E70">
        <w:instrText xml:space="preserve"> REF _RefF1 \h  \* MERGEFORMAT </w:instrText>
      </w:r>
      <w:r w:rsidRPr="00595E70">
        <w:fldChar w:fldCharType="end"/>
      </w:r>
      <w:r w:rsidRPr="00595E70">
        <w:t xml:space="preserve">. </w:t>
      </w:r>
    </w:p>
  </w:footnote>
  <w:footnote w:id="18">
    <w:p w14:paraId="32374242" w14:textId="77777777" w:rsidR="003C568B" w:rsidRPr="00595E70" w:rsidRDefault="003C568B" w:rsidP="00351398">
      <w:pPr>
        <w:pStyle w:val="Footnote"/>
        <w:rPr>
          <w:lang w:val="fr-FR"/>
        </w:rPr>
      </w:pPr>
      <w:r w:rsidRPr="00595E70">
        <w:rPr>
          <w:rStyle w:val="FootnoteReference"/>
        </w:rPr>
        <w:footnoteRef/>
      </w:r>
      <w:r w:rsidRPr="00595E70">
        <w:rPr>
          <w:lang w:val="fr-FR"/>
        </w:rPr>
        <w:tab/>
        <w:t xml:space="preserve">R. </w:t>
      </w:r>
      <w:proofErr w:type="spellStart"/>
      <w:r w:rsidRPr="00595E70">
        <w:rPr>
          <w:lang w:val="fr-FR"/>
        </w:rPr>
        <w:t>Dehousse</w:t>
      </w:r>
      <w:proofErr w:type="spellEnd"/>
      <w:r w:rsidRPr="00595E70">
        <w:rPr>
          <w:lang w:val="fr-FR"/>
        </w:rPr>
        <w:t xml:space="preserve">, </w:t>
      </w:r>
      <w:r w:rsidRPr="00595E70">
        <w:rPr>
          <w:i/>
          <w:lang w:val="fr-FR"/>
        </w:rPr>
        <w:t>La Cour de Justice des Communautés Européennes</w:t>
      </w:r>
      <w:r w:rsidRPr="00595E70">
        <w:rPr>
          <w:lang w:val="fr-FR"/>
        </w:rPr>
        <w:t xml:space="preserve"> (Paris: Montchrestien 1997), 72.</w:t>
      </w:r>
    </w:p>
  </w:footnote>
  <w:footnote w:id="19">
    <w:p w14:paraId="0CF5B19A" w14:textId="77777777" w:rsidR="003C568B" w:rsidRPr="00595E70" w:rsidRDefault="003C568B" w:rsidP="00351398">
      <w:pPr>
        <w:pStyle w:val="Footnote"/>
      </w:pPr>
      <w:r w:rsidRPr="00595E70">
        <w:rPr>
          <w:rStyle w:val="FootnoteReference"/>
        </w:rPr>
        <w:footnoteRef/>
      </w:r>
      <w:r w:rsidRPr="00595E70">
        <w:tab/>
        <w:t xml:space="preserve">J. </w:t>
      </w:r>
      <w:proofErr w:type="spellStart"/>
      <w:r w:rsidRPr="00595E70">
        <w:t>Weiler</w:t>
      </w:r>
      <w:proofErr w:type="spellEnd"/>
      <w:r w:rsidRPr="00595E70">
        <w:t xml:space="preserve">, ‘A Quiet Revolution: The European Court of Justice and its Interlocutors’, (1994) </w:t>
      </w:r>
      <w:r w:rsidRPr="00595E70">
        <w:rPr>
          <w:i/>
        </w:rPr>
        <w:t>Comparative Political Studies</w:t>
      </w:r>
      <w:r w:rsidRPr="00595E70">
        <w:t xml:space="preserve"> 510-534, 534. The author argues however that the conditions favouring this ‘easy’ acceptance of ECJ jurisprudence are changing, and the future might bring less easy compliance with the European judicial norms. See also Stone Sweet n </w:t>
      </w:r>
      <w:r>
        <w:fldChar w:fldCharType="begin"/>
      </w:r>
      <w:r>
        <w:instrText xml:space="preserve"> NOTEREF _Ref382492002 \h  \* MERGEFORMAT </w:instrText>
      </w:r>
      <w:r>
        <w:fldChar w:fldCharType="separate"/>
      </w:r>
      <w:r w:rsidR="00B201F7">
        <w:t>14</w:t>
      </w:r>
      <w:r>
        <w:fldChar w:fldCharType="end"/>
      </w:r>
      <w:r w:rsidRPr="00595E70">
        <w:t xml:space="preserve"> above, 69, arguing that the Court does so by implementing a ‘majoritarian activism’.</w:t>
      </w:r>
    </w:p>
  </w:footnote>
  <w:footnote w:id="20">
    <w:p w14:paraId="48AB0955" w14:textId="77777777" w:rsidR="003C568B" w:rsidRPr="00595E70" w:rsidRDefault="003C568B" w:rsidP="00351398">
      <w:pPr>
        <w:pStyle w:val="Footnote"/>
      </w:pPr>
      <w:r w:rsidRPr="00595E70">
        <w:rPr>
          <w:rStyle w:val="FootnoteReference"/>
        </w:rPr>
        <w:footnoteRef/>
      </w:r>
      <w:r w:rsidRPr="00595E70">
        <w:tab/>
      </w:r>
      <w:proofErr w:type="spellStart"/>
      <w:proofErr w:type="gramStart"/>
      <w:r w:rsidRPr="00595E70">
        <w:t>Weiler</w:t>
      </w:r>
      <w:r w:rsidRPr="00595E70">
        <w:rPr>
          <w:i/>
        </w:rPr>
        <w:t>ibid</w:t>
      </w:r>
      <w:proofErr w:type="spellEnd"/>
      <w:r w:rsidRPr="00595E70">
        <w:t>, 530.</w:t>
      </w:r>
      <w:proofErr w:type="gramEnd"/>
      <w:r w:rsidRPr="00595E70">
        <w:t xml:space="preserve"> The Court can achieve this result thanks to ‘prudent’ legal interpretation of EU law, which are not openly in contrast to member states policy and are likely to be accepted by national judiciaries. </w:t>
      </w:r>
    </w:p>
  </w:footnote>
  <w:footnote w:id="21">
    <w:p w14:paraId="6491D80B" w14:textId="77777777" w:rsidR="003C568B" w:rsidRPr="00595E70" w:rsidRDefault="003C568B" w:rsidP="00351398">
      <w:pPr>
        <w:pStyle w:val="Footnote"/>
      </w:pPr>
      <w:r w:rsidRPr="00595E70">
        <w:rPr>
          <w:rStyle w:val="FootnoteReference"/>
        </w:rPr>
        <w:footnoteRef/>
      </w:r>
      <w:r w:rsidRPr="00595E70">
        <w:tab/>
        <w:t xml:space="preserve">Stone Sweet and </w:t>
      </w:r>
      <w:proofErr w:type="spellStart"/>
      <w:r w:rsidRPr="00595E70">
        <w:t>Brunell</w:t>
      </w:r>
      <w:proofErr w:type="spellEnd"/>
      <w:r w:rsidRPr="00595E70">
        <w:t xml:space="preserve"> n </w:t>
      </w:r>
      <w:r>
        <w:fldChar w:fldCharType="begin"/>
      </w:r>
      <w:r>
        <w:instrText xml:space="preserve"> NOTEREF _Ref382492002 \h  \* MERGEFORMAT </w:instrText>
      </w:r>
      <w:r>
        <w:fldChar w:fldCharType="separate"/>
      </w:r>
      <w:r w:rsidR="00B201F7">
        <w:t>14</w:t>
      </w:r>
      <w:r>
        <w:fldChar w:fldCharType="end"/>
      </w:r>
      <w:r w:rsidRPr="00595E70">
        <w:t xml:space="preserve"> above</w:t>
      </w:r>
      <w:r w:rsidRPr="00595E70">
        <w:fldChar w:fldCharType="begin"/>
      </w:r>
      <w:r w:rsidRPr="00595E70">
        <w:instrText xml:space="preserve"> REF _RefF3 \h  \* MERGEFORMAT </w:instrText>
      </w:r>
      <w:r w:rsidRPr="00595E70">
        <w:fldChar w:fldCharType="end"/>
      </w:r>
      <w:r w:rsidRPr="00595E70">
        <w:t>, 69.</w:t>
      </w:r>
    </w:p>
  </w:footnote>
  <w:footnote w:id="22">
    <w:p w14:paraId="4A1A19DA" w14:textId="77777777" w:rsidR="003C568B" w:rsidRPr="00595E70" w:rsidRDefault="003C568B" w:rsidP="00351398">
      <w:pPr>
        <w:pStyle w:val="Footnote"/>
      </w:pPr>
      <w:r w:rsidRPr="00595E70">
        <w:rPr>
          <w:rStyle w:val="FootnoteReference"/>
        </w:rPr>
        <w:footnoteRef/>
      </w:r>
      <w:r w:rsidRPr="00595E70">
        <w:tab/>
        <w:t xml:space="preserve">Conant n </w:t>
      </w:r>
      <w:r>
        <w:fldChar w:fldCharType="begin"/>
      </w:r>
      <w:r>
        <w:instrText xml:space="preserve"> NOTEREF _Ref382492033 \h  \* MERGEFORMAT </w:instrText>
      </w:r>
      <w:r>
        <w:fldChar w:fldCharType="separate"/>
      </w:r>
      <w:r w:rsidR="00B201F7">
        <w:t>12</w:t>
      </w:r>
      <w:r>
        <w:fldChar w:fldCharType="end"/>
      </w:r>
      <w:r w:rsidRPr="00595E70">
        <w:t xml:space="preserve"> above, 38. See also generally R. </w:t>
      </w:r>
      <w:proofErr w:type="spellStart"/>
      <w:r w:rsidRPr="00595E70">
        <w:t>Cichowski</w:t>
      </w:r>
      <w:proofErr w:type="spellEnd"/>
      <w:r w:rsidRPr="00595E70">
        <w:t xml:space="preserve">, </w:t>
      </w:r>
      <w:r w:rsidRPr="00595E70">
        <w:rPr>
          <w:i/>
        </w:rPr>
        <w:t xml:space="preserve">The European Court and Civil Society: Litigation, Mobilization and Governance </w:t>
      </w:r>
      <w:r w:rsidRPr="00595E70">
        <w:t>(Cambridge: CUP 2007).</w:t>
      </w:r>
    </w:p>
  </w:footnote>
  <w:footnote w:id="23">
    <w:p w14:paraId="665EA3B3" w14:textId="688A0311" w:rsidR="003C568B" w:rsidRPr="00595E70" w:rsidRDefault="003C568B" w:rsidP="00351398">
      <w:pPr>
        <w:pStyle w:val="Footnote"/>
      </w:pPr>
      <w:r w:rsidRPr="00595E70">
        <w:rPr>
          <w:rStyle w:val="FootnoteReference"/>
        </w:rPr>
        <w:footnoteRef/>
      </w:r>
      <w:r w:rsidRPr="00595E70">
        <w:tab/>
        <w:t xml:space="preserve">J. Bell, ‘The Role of European Judges in an Era of Uncertainty’, in P. </w:t>
      </w:r>
      <w:proofErr w:type="spellStart"/>
      <w:r w:rsidRPr="00595E70">
        <w:t>Birkinshaw</w:t>
      </w:r>
      <w:proofErr w:type="spellEnd"/>
      <w:r w:rsidRPr="00595E70">
        <w:t xml:space="preserve"> and M. Varney (</w:t>
      </w:r>
      <w:proofErr w:type="spellStart"/>
      <w:r w:rsidRPr="00595E70">
        <w:t>eds</w:t>
      </w:r>
      <w:proofErr w:type="spellEnd"/>
      <w:r w:rsidRPr="00595E70">
        <w:t xml:space="preserve">) </w:t>
      </w:r>
      <w:r w:rsidRPr="00595E70">
        <w:rPr>
          <w:i/>
        </w:rPr>
        <w:t>The European Legal Order after Lisbon</w:t>
      </w:r>
      <w:r w:rsidRPr="00595E70">
        <w:t xml:space="preserve"> (Austin, Boston, Chicago, New York, The Netherlands: Kluwer Law International 2010), 289. See also F. G. Jacobs, ‘The Court of Justice in the Twenty-First Cen</w:t>
      </w:r>
      <w:r>
        <w:t>tury: Challenges Ahead for the J</w:t>
      </w:r>
      <w:r w:rsidRPr="00595E70">
        <w:t>udicial System?</w:t>
      </w:r>
      <w:proofErr w:type="gramStart"/>
      <w:r w:rsidRPr="00595E70">
        <w:t>’,</w:t>
      </w:r>
      <w:proofErr w:type="gramEnd"/>
      <w:r w:rsidRPr="00595E70">
        <w:t xml:space="preserve"> in A. Rosas, A. </w:t>
      </w:r>
      <w:proofErr w:type="spellStart"/>
      <w:r w:rsidRPr="00595E70">
        <w:t>Levits</w:t>
      </w:r>
      <w:proofErr w:type="spellEnd"/>
      <w:r w:rsidRPr="00595E70">
        <w:t>, E. Bot (</w:t>
      </w:r>
      <w:proofErr w:type="spellStart"/>
      <w:r w:rsidRPr="00595E70">
        <w:t>eds</w:t>
      </w:r>
      <w:proofErr w:type="spellEnd"/>
      <w:r w:rsidRPr="00595E70">
        <w:t xml:space="preserve">) </w:t>
      </w:r>
      <w:r w:rsidRPr="00595E70">
        <w:rPr>
          <w:i/>
        </w:rPr>
        <w:t>The Court of Justice and the Construction of Europe </w:t>
      </w:r>
      <w:r w:rsidRPr="00595E70">
        <w:t>(</w:t>
      </w:r>
      <w:proofErr w:type="spellStart"/>
      <w:r w:rsidRPr="00595E70">
        <w:t>ebook</w:t>
      </w:r>
      <w:proofErr w:type="spellEnd"/>
      <w:r w:rsidRPr="00595E70">
        <w:t>: Asser Press Sp</w:t>
      </w:r>
      <w:r>
        <w:t>ringer 2013), 56, advocating</w:t>
      </w:r>
      <w:r w:rsidRPr="00595E70">
        <w:t xml:space="preserve"> self-restraint of the Court when supporting the ‘green light’ theory. See also </w:t>
      </w:r>
      <w:proofErr w:type="spellStart"/>
      <w:r w:rsidRPr="00595E70">
        <w:t>Dehousse</w:t>
      </w:r>
      <w:proofErr w:type="spellEnd"/>
      <w:r w:rsidRPr="00595E70">
        <w:t xml:space="preserve"> n </w:t>
      </w:r>
      <w:r>
        <w:fldChar w:fldCharType="begin"/>
      </w:r>
      <w:r>
        <w:instrText xml:space="preserve"> NOTEREF _Ref384025443 \h  \* MERGEFORMAT </w:instrText>
      </w:r>
      <w:r>
        <w:fldChar w:fldCharType="separate"/>
      </w:r>
      <w:r w:rsidR="00B201F7">
        <w:t>17</w:t>
      </w:r>
      <w:r>
        <w:fldChar w:fldCharType="end"/>
      </w:r>
      <w:r w:rsidRPr="00595E70">
        <w:t xml:space="preserve"> above, 16-17, arguing in essence that the Court uses its ‘policy-making’ powers with discretion.</w:t>
      </w:r>
    </w:p>
  </w:footnote>
  <w:footnote w:id="24">
    <w:p w14:paraId="57BAEC42" w14:textId="77777777" w:rsidR="003C568B" w:rsidRPr="00595E70" w:rsidRDefault="003C568B" w:rsidP="00351398">
      <w:pPr>
        <w:pStyle w:val="Footnote"/>
      </w:pPr>
      <w:r w:rsidRPr="00595E70">
        <w:rPr>
          <w:rStyle w:val="FootnoteReference"/>
        </w:rPr>
        <w:footnoteRef/>
      </w:r>
      <w:r w:rsidRPr="00595E70">
        <w:tab/>
        <w:t xml:space="preserve">See generally G. Garrett, ‘ The Policy of Legal integration in the European Union’ (1995]) 49(1) </w:t>
      </w:r>
      <w:r w:rsidRPr="00595E70">
        <w:rPr>
          <w:i/>
        </w:rPr>
        <w:t>International Organizations</w:t>
      </w:r>
      <w:r w:rsidRPr="00595E70">
        <w:t xml:space="preserve">, 171-181, and G. Garrett, R. D. </w:t>
      </w:r>
      <w:proofErr w:type="spellStart"/>
      <w:r w:rsidRPr="00595E70">
        <w:t>Kelemen</w:t>
      </w:r>
      <w:proofErr w:type="spellEnd"/>
      <w:r w:rsidRPr="00595E70">
        <w:t xml:space="preserve">, and generally H. Schulz, ‘The European Court of Justice, national governments and Legal Integration in the European Union’, (1998) 52(1) </w:t>
      </w:r>
      <w:r w:rsidRPr="00595E70">
        <w:rPr>
          <w:i/>
        </w:rPr>
        <w:t>International Organizations</w:t>
      </w:r>
      <w:r w:rsidRPr="00595E70">
        <w:t xml:space="preserve"> 149-176.</w:t>
      </w:r>
    </w:p>
  </w:footnote>
  <w:footnote w:id="25">
    <w:p w14:paraId="39067ED6" w14:textId="77777777" w:rsidR="003C568B" w:rsidRPr="00595E70" w:rsidRDefault="003C568B" w:rsidP="00351398">
      <w:pPr>
        <w:pStyle w:val="Footnote"/>
      </w:pPr>
      <w:r w:rsidRPr="00595E70">
        <w:rPr>
          <w:rStyle w:val="FootnoteReference"/>
        </w:rPr>
        <w:footnoteRef/>
      </w:r>
      <w:r w:rsidRPr="00595E70">
        <w:tab/>
        <w:t xml:space="preserve">A. Stone Sweet and T. L. </w:t>
      </w:r>
      <w:proofErr w:type="spellStart"/>
      <w:proofErr w:type="gramStart"/>
      <w:r w:rsidRPr="00595E70">
        <w:t>Brunell</w:t>
      </w:r>
      <w:proofErr w:type="spellEnd"/>
      <w:r w:rsidRPr="00595E70">
        <w:t> ,</w:t>
      </w:r>
      <w:proofErr w:type="gramEnd"/>
      <w:r w:rsidRPr="00595E70">
        <w:t xml:space="preserve"> ‘Trustee Courts and the </w:t>
      </w:r>
      <w:proofErr w:type="spellStart"/>
      <w:r w:rsidRPr="00595E70">
        <w:t>Judicialization</w:t>
      </w:r>
      <w:proofErr w:type="spellEnd"/>
      <w:r w:rsidRPr="00595E70">
        <w:t xml:space="preserve"> of International Regimes: The Politics of Majoritarian Activism in the European Convention on Human Rights, the European Union, and the World Trade Organization’ (2013) 1(1) </w:t>
      </w:r>
      <w:r w:rsidRPr="00595E70">
        <w:rPr>
          <w:i/>
        </w:rPr>
        <w:t>Journal of Law and Courts</w:t>
      </w:r>
      <w:r w:rsidRPr="00595E70">
        <w:t xml:space="preserve"> 61-88, 64. </w:t>
      </w:r>
    </w:p>
  </w:footnote>
  <w:footnote w:id="26">
    <w:p w14:paraId="493CAFEF" w14:textId="77777777" w:rsidR="003C568B" w:rsidRPr="00595E70" w:rsidRDefault="003C568B" w:rsidP="00351398">
      <w:pPr>
        <w:pStyle w:val="Footnote"/>
      </w:pPr>
      <w:r w:rsidRPr="00595E70">
        <w:rPr>
          <w:rStyle w:val="FootnoteReference"/>
        </w:rPr>
        <w:footnoteRef/>
      </w:r>
      <w:r w:rsidRPr="00595E70">
        <w:tab/>
        <w:t xml:space="preserve">K. Alter, </w:t>
      </w:r>
      <w:r w:rsidRPr="00595E70">
        <w:rPr>
          <w:i/>
        </w:rPr>
        <w:t>The European Court’s Political Power</w:t>
      </w:r>
      <w:r w:rsidRPr="00595E70">
        <w:t xml:space="preserve"> (Oxford: OUP 2009), 237.</w:t>
      </w:r>
    </w:p>
  </w:footnote>
  <w:footnote w:id="27">
    <w:p w14:paraId="383635A6" w14:textId="139A0C54" w:rsidR="003C568B" w:rsidRPr="009661C4" w:rsidRDefault="003C568B" w:rsidP="00351398">
      <w:pPr>
        <w:pStyle w:val="Footnote"/>
        <w:rPr>
          <w:lang w:val="en-US"/>
        </w:rPr>
      </w:pPr>
      <w:r>
        <w:rPr>
          <w:rStyle w:val="FootnoteReference"/>
        </w:rPr>
        <w:footnoteRef/>
      </w:r>
      <w:r>
        <w:tab/>
      </w:r>
      <w:r w:rsidRPr="00595E70">
        <w:t xml:space="preserve">C. </w:t>
      </w:r>
      <w:proofErr w:type="spellStart"/>
      <w:r w:rsidRPr="00595E70">
        <w:t>Kaupa</w:t>
      </w:r>
      <w:proofErr w:type="spellEnd"/>
      <w:r w:rsidRPr="00595E70">
        <w:t xml:space="preserve">, ‘Maybe not activist enough? </w:t>
      </w:r>
      <w:proofErr w:type="gramStart"/>
      <w:r w:rsidRPr="00595E70">
        <w:t>On the court’s alleged neoliberal bias in its recent labour cases’, in Muir, Dawson and de Witte (</w:t>
      </w:r>
      <w:proofErr w:type="spellStart"/>
      <w:r w:rsidRPr="00595E70">
        <w:t>eds</w:t>
      </w:r>
      <w:proofErr w:type="spellEnd"/>
      <w:r w:rsidRPr="00595E70">
        <w:rPr>
          <w:i/>
        </w:rPr>
        <w:t>) Judicial Activism at the European Court of Justice</w:t>
      </w:r>
      <w:r w:rsidRPr="00595E70">
        <w:t xml:space="preserve"> (Cheltenham: Edward Elgar 2013), 74.</w:t>
      </w:r>
      <w:proofErr w:type="gramEnd"/>
    </w:p>
  </w:footnote>
  <w:footnote w:id="28">
    <w:p w14:paraId="12B4E245" w14:textId="77777777" w:rsidR="003C568B" w:rsidRPr="00595E70" w:rsidRDefault="003C568B" w:rsidP="00351398">
      <w:pPr>
        <w:pStyle w:val="Footnote"/>
      </w:pPr>
      <w:r w:rsidRPr="00595E70">
        <w:rPr>
          <w:rStyle w:val="FootnoteReference"/>
        </w:rPr>
        <w:footnoteRef/>
      </w:r>
      <w:r w:rsidRPr="00595E70">
        <w:tab/>
        <w:t xml:space="preserve">Commentators suggest that while the Court was innovative in areas where it could count on larger mobilization of juridical and political activism, it was more cautious on delicate areas where countries strongly claim their national supremacy. See </w:t>
      </w:r>
      <w:proofErr w:type="spellStart"/>
      <w:r w:rsidRPr="00595E70">
        <w:t>Dehousse</w:t>
      </w:r>
      <w:proofErr w:type="spellEnd"/>
      <w:r w:rsidRPr="00595E70">
        <w:t xml:space="preserve"> n </w:t>
      </w:r>
      <w:r>
        <w:fldChar w:fldCharType="begin"/>
      </w:r>
      <w:r>
        <w:instrText xml:space="preserve"> NOTEREF _Ref384025443 \h  \* MERGEFORMAT </w:instrText>
      </w:r>
      <w:r>
        <w:fldChar w:fldCharType="separate"/>
      </w:r>
      <w:r w:rsidR="00B201F7">
        <w:t>17</w:t>
      </w:r>
      <w:r>
        <w:fldChar w:fldCharType="end"/>
      </w:r>
      <w:r w:rsidRPr="00595E70">
        <w:t xml:space="preserve"> above, 144, arguing that the Court adopted a lower profile since the end of the ‘80s, due to a strain on integration impulses. See also Conant n </w:t>
      </w:r>
      <w:r>
        <w:fldChar w:fldCharType="begin"/>
      </w:r>
      <w:r>
        <w:instrText xml:space="preserve"> NOTEREF _Ref382492033 \h  \* MERGEFORMAT </w:instrText>
      </w:r>
      <w:r>
        <w:fldChar w:fldCharType="separate"/>
      </w:r>
      <w:r w:rsidR="00B201F7">
        <w:t>12</w:t>
      </w:r>
      <w:r>
        <w:fldChar w:fldCharType="end"/>
      </w:r>
      <w:r w:rsidRPr="00595E70">
        <w:t xml:space="preserve"> above, 38 for the role of activist mobilization; and on the same topic Alter, n </w:t>
      </w:r>
      <w:r>
        <w:fldChar w:fldCharType="begin"/>
      </w:r>
      <w:r>
        <w:instrText xml:space="preserve"> NOTEREF _Ref383614063 \h  \* MERGEFORMAT </w:instrText>
      </w:r>
      <w:r>
        <w:fldChar w:fldCharType="separate"/>
      </w:r>
      <w:r w:rsidR="00B201F7">
        <w:t>25</w:t>
      </w:r>
      <w:r>
        <w:fldChar w:fldCharType="end"/>
      </w:r>
      <w:r w:rsidRPr="00595E70">
        <w:t xml:space="preserve"> above</w:t>
      </w:r>
      <w:r w:rsidRPr="00595E70">
        <w:rPr>
          <w:i/>
        </w:rPr>
        <w:t>,</w:t>
      </w:r>
      <w:r w:rsidRPr="00595E70">
        <w:t xml:space="preserve"> 63.</w:t>
      </w:r>
    </w:p>
  </w:footnote>
  <w:footnote w:id="29">
    <w:p w14:paraId="4059370D" w14:textId="77777777" w:rsidR="003C568B" w:rsidRPr="00595E70" w:rsidRDefault="003C568B" w:rsidP="00351398">
      <w:pPr>
        <w:pStyle w:val="Footnote"/>
      </w:pPr>
      <w:r w:rsidRPr="00595E70">
        <w:rPr>
          <w:rStyle w:val="FootnoteReference"/>
        </w:rPr>
        <w:footnoteRef/>
      </w:r>
      <w:r w:rsidRPr="00595E70">
        <w:rPr>
          <w:i/>
        </w:rPr>
        <w:tab/>
      </w:r>
      <w:r w:rsidRPr="00595E70">
        <w:t>Alter</w:t>
      </w:r>
      <w:r w:rsidRPr="00595E70">
        <w:rPr>
          <w:i/>
        </w:rPr>
        <w:t xml:space="preserve"> ibid</w:t>
      </w:r>
      <w:r w:rsidRPr="00595E70">
        <w:t>, 47. The author cites the liberalisation of telecommunications as an example.</w:t>
      </w:r>
    </w:p>
  </w:footnote>
  <w:footnote w:id="30">
    <w:p w14:paraId="39A1BA3A" w14:textId="3D208F18" w:rsidR="003C568B" w:rsidRPr="00595E70" w:rsidRDefault="003C568B" w:rsidP="00351398">
      <w:pPr>
        <w:pStyle w:val="Footnote"/>
      </w:pPr>
      <w:r w:rsidRPr="00595E70">
        <w:rPr>
          <w:rStyle w:val="FootnoteReference"/>
        </w:rPr>
        <w:footnoteRef/>
      </w:r>
      <w:r w:rsidRPr="00595E70">
        <w:tab/>
        <w:t xml:space="preserve">J. </w:t>
      </w:r>
      <w:proofErr w:type="spellStart"/>
      <w:r w:rsidRPr="00595E70">
        <w:t>Weiler</w:t>
      </w:r>
      <w:proofErr w:type="spellEnd"/>
      <w:r w:rsidRPr="00595E70">
        <w:t xml:space="preserve">, ‘Epilogue: The Judicial Après Nice’, in G. De </w:t>
      </w:r>
      <w:proofErr w:type="spellStart"/>
      <w:r w:rsidRPr="00595E70">
        <w:t>Bùrca</w:t>
      </w:r>
      <w:proofErr w:type="spellEnd"/>
      <w:r w:rsidRPr="00595E70">
        <w:t xml:space="preserve"> and J.H.H. </w:t>
      </w:r>
      <w:proofErr w:type="spellStart"/>
      <w:r w:rsidRPr="00595E70">
        <w:t>Weiler</w:t>
      </w:r>
      <w:proofErr w:type="spellEnd"/>
      <w:r w:rsidRPr="00595E70">
        <w:t xml:space="preserve"> (</w:t>
      </w:r>
      <w:proofErr w:type="spellStart"/>
      <w:r w:rsidRPr="00595E70">
        <w:t>eds</w:t>
      </w:r>
      <w:proofErr w:type="spellEnd"/>
      <w:r w:rsidRPr="00595E70">
        <w:t xml:space="preserve">) </w:t>
      </w:r>
      <w:r w:rsidRPr="00595E70">
        <w:rPr>
          <w:i/>
        </w:rPr>
        <w:t xml:space="preserve">The European Court of Justice </w:t>
      </w:r>
      <w:r w:rsidRPr="00595E70">
        <w:t>(Oxford: OUP 2001), 221.</w:t>
      </w:r>
      <w:r w:rsidRPr="00466657">
        <w:t xml:space="preserve"> </w:t>
      </w:r>
      <w:r w:rsidRPr="00595E70">
        <w:t xml:space="preserve">C. </w:t>
      </w:r>
      <w:proofErr w:type="spellStart"/>
      <w:r w:rsidRPr="00595E70">
        <w:t>Kaupa</w:t>
      </w:r>
      <w:proofErr w:type="spellEnd"/>
      <w:r w:rsidRPr="00595E70">
        <w:t xml:space="preserve">, ‘Maybe not activist enough? </w:t>
      </w:r>
      <w:proofErr w:type="gramStart"/>
      <w:r w:rsidRPr="00595E70">
        <w:t>On the court’s alleged neoliberal bias in its recent labour cases’, in Muir, Dawson and de Witte (</w:t>
      </w:r>
      <w:proofErr w:type="spellStart"/>
      <w:r w:rsidRPr="00595E70">
        <w:t>eds</w:t>
      </w:r>
      <w:proofErr w:type="spellEnd"/>
      <w:r w:rsidRPr="00595E70">
        <w:rPr>
          <w:i/>
        </w:rPr>
        <w:t>) Judicial Activism at the European Court of Justice</w:t>
      </w:r>
      <w:r w:rsidRPr="00595E70">
        <w:t xml:space="preserve"> (Cheltenham: Edward Elgar 2013), 74.</w:t>
      </w:r>
      <w:proofErr w:type="gramEnd"/>
    </w:p>
  </w:footnote>
  <w:footnote w:id="31">
    <w:p w14:paraId="0DA9EC67" w14:textId="77777777" w:rsidR="003C568B" w:rsidRPr="00595E70" w:rsidRDefault="003C568B" w:rsidP="00351398">
      <w:pPr>
        <w:pStyle w:val="Footnote"/>
        <w:rPr>
          <w:lang w:val="en-US"/>
        </w:rPr>
      </w:pPr>
      <w:r w:rsidRPr="00595E70">
        <w:rPr>
          <w:rStyle w:val="FootnoteReference"/>
        </w:rPr>
        <w:footnoteRef/>
      </w:r>
      <w:r w:rsidRPr="00E34EA2">
        <w:rPr>
          <w:lang w:val="nl-BE"/>
        </w:rPr>
        <w:tab/>
      </w:r>
      <w:r w:rsidRPr="00E34EA2">
        <w:rPr>
          <w:lang w:val="nl-BE"/>
        </w:rPr>
        <w:t xml:space="preserve">Griffiths; van Eechoud; Leistner, n </w:t>
      </w:r>
      <w:r w:rsidRPr="00595E70">
        <w:rPr>
          <w:highlight w:val="yellow"/>
        </w:rPr>
        <w:fldChar w:fldCharType="begin"/>
      </w:r>
      <w:r w:rsidRPr="00E34EA2">
        <w:rPr>
          <w:lang w:val="nl-BE"/>
        </w:rPr>
        <w:instrText xml:space="preserve"> NOTEREF _Ref413417862 \h </w:instrText>
      </w:r>
      <w:r w:rsidRPr="00595E70">
        <w:rPr>
          <w:highlight w:val="yellow"/>
        </w:rPr>
      </w:r>
      <w:r w:rsidRPr="00595E70">
        <w:rPr>
          <w:highlight w:val="yellow"/>
        </w:rPr>
        <w:fldChar w:fldCharType="separate"/>
      </w:r>
      <w:r w:rsidR="00B201F7">
        <w:rPr>
          <w:lang w:val="nl-BE"/>
        </w:rPr>
        <w:t>3</w:t>
      </w:r>
      <w:r w:rsidRPr="00595E70">
        <w:rPr>
          <w:highlight w:val="yellow"/>
        </w:rPr>
        <w:fldChar w:fldCharType="end"/>
      </w:r>
      <w:r w:rsidRPr="00E34EA2">
        <w:rPr>
          <w:lang w:val="nl-BE"/>
        </w:rPr>
        <w:t xml:space="preserve"> above. </w:t>
      </w:r>
      <w:r w:rsidRPr="00595E70">
        <w:t xml:space="preserve">On the same point related to general EU Law see Stone Sweet and </w:t>
      </w:r>
      <w:proofErr w:type="spellStart"/>
      <w:r w:rsidRPr="00595E70">
        <w:t>Brunell</w:t>
      </w:r>
      <w:proofErr w:type="spellEnd"/>
      <w:r w:rsidRPr="00595E70">
        <w:t xml:space="preserve"> n </w:t>
      </w:r>
      <w:r>
        <w:fldChar w:fldCharType="begin"/>
      </w:r>
      <w:r>
        <w:instrText xml:space="preserve"> NOTEREF _Ref382492002 \h  \* MERGEFORMAT </w:instrText>
      </w:r>
      <w:r>
        <w:fldChar w:fldCharType="separate"/>
      </w:r>
      <w:r w:rsidR="00B201F7">
        <w:t>14</w:t>
      </w:r>
      <w:r>
        <w:fldChar w:fldCharType="end"/>
      </w:r>
      <w:r w:rsidRPr="00595E70">
        <w:t xml:space="preserve"> above</w:t>
      </w:r>
      <w:r w:rsidRPr="00595E70">
        <w:fldChar w:fldCharType="begin"/>
      </w:r>
      <w:r w:rsidRPr="00595E70">
        <w:instrText xml:space="preserve"> REF _RefF3 \h  \* MERGEFORMAT </w:instrText>
      </w:r>
      <w:r w:rsidRPr="00595E70">
        <w:fldChar w:fldCharType="end"/>
      </w:r>
      <w:r w:rsidRPr="00595E70">
        <w:t>, 68.</w:t>
      </w:r>
    </w:p>
  </w:footnote>
  <w:footnote w:id="32">
    <w:p w14:paraId="4ADEDD52" w14:textId="484124D9" w:rsidR="003C568B" w:rsidRPr="00595E70" w:rsidRDefault="003C568B" w:rsidP="00351398">
      <w:pPr>
        <w:pStyle w:val="Footnote"/>
      </w:pPr>
      <w:r w:rsidRPr="00595E70">
        <w:rPr>
          <w:rStyle w:val="Footnoteanchor"/>
        </w:rPr>
        <w:footnoteRef/>
      </w:r>
      <w:r>
        <w:tab/>
      </w:r>
      <w:r w:rsidRPr="00595E70">
        <w:t xml:space="preserve">Case 283/81 </w:t>
      </w:r>
      <w:r w:rsidRPr="00595E70">
        <w:rPr>
          <w:i/>
        </w:rPr>
        <w:t>CILIFT</w:t>
      </w:r>
      <w:r w:rsidRPr="00595E70">
        <w:t xml:space="preserve"> [1982] ECR 3415 (17-20).</w:t>
      </w:r>
    </w:p>
  </w:footnote>
  <w:footnote w:id="33">
    <w:p w14:paraId="62DD6B94" w14:textId="66EA0FA9" w:rsidR="003C568B" w:rsidRPr="00595E70" w:rsidRDefault="003C568B" w:rsidP="00351398">
      <w:pPr>
        <w:pStyle w:val="Footnote"/>
      </w:pPr>
      <w:r w:rsidRPr="00595E70">
        <w:rPr>
          <w:rStyle w:val="Footnoteanchor"/>
        </w:rPr>
        <w:footnoteRef/>
      </w:r>
      <w:r>
        <w:tab/>
      </w:r>
      <w:r w:rsidRPr="00595E70">
        <w:t xml:space="preserve">See A. </w:t>
      </w:r>
      <w:proofErr w:type="spellStart"/>
      <w:r w:rsidRPr="00595E70">
        <w:t>Arnull</w:t>
      </w:r>
      <w:proofErr w:type="spellEnd"/>
      <w:r w:rsidRPr="00595E70">
        <w:t xml:space="preserve">, </w:t>
      </w:r>
      <w:r w:rsidRPr="00595E70">
        <w:rPr>
          <w:i/>
        </w:rPr>
        <w:t xml:space="preserve">The European Union and </w:t>
      </w:r>
      <w:proofErr w:type="gramStart"/>
      <w:r w:rsidRPr="00595E70">
        <w:rPr>
          <w:i/>
        </w:rPr>
        <w:t>its</w:t>
      </w:r>
      <w:proofErr w:type="gramEnd"/>
      <w:r w:rsidRPr="00595E70">
        <w:rPr>
          <w:i/>
        </w:rPr>
        <w:t xml:space="preserve"> Court of Justice</w:t>
      </w:r>
      <w:r w:rsidRPr="00595E70">
        <w:t xml:space="preserve"> (Oxford: OUP 2006), 608. </w:t>
      </w:r>
      <w:proofErr w:type="gramStart"/>
      <w:r w:rsidRPr="00595E70">
        <w:t xml:space="preserve">Also </w:t>
      </w:r>
      <w:proofErr w:type="spellStart"/>
      <w:r w:rsidRPr="00595E70">
        <w:t>Bengoetxea</w:t>
      </w:r>
      <w:proofErr w:type="spellEnd"/>
      <w:r w:rsidRPr="00595E70">
        <w:t xml:space="preserve">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232.</w:t>
      </w:r>
      <w:proofErr w:type="gramEnd"/>
    </w:p>
  </w:footnote>
  <w:footnote w:id="34">
    <w:p w14:paraId="6374EFF8" w14:textId="7215A5F4" w:rsidR="003C568B" w:rsidRPr="00595E70" w:rsidRDefault="003C568B" w:rsidP="00351398">
      <w:pPr>
        <w:pStyle w:val="Footnote"/>
      </w:pPr>
      <w:r w:rsidRPr="00595E70">
        <w:rPr>
          <w:rStyle w:val="Footnoteanchor"/>
        </w:rPr>
        <w:footnoteRef/>
      </w:r>
      <w:r>
        <w:tab/>
      </w:r>
      <w:r w:rsidRPr="00595E70">
        <w:t xml:space="preserve">See for example Griffiths; van </w:t>
      </w:r>
      <w:proofErr w:type="spellStart"/>
      <w:r w:rsidRPr="00595E70">
        <w:t>Eechoud</w:t>
      </w:r>
      <w:proofErr w:type="spellEnd"/>
      <w:r w:rsidRPr="00595E70">
        <w:t xml:space="preserve">; </w:t>
      </w:r>
      <w:proofErr w:type="spellStart"/>
      <w:r w:rsidRPr="00595E70">
        <w:t>Leistner</w:t>
      </w:r>
      <w:proofErr w:type="spellEnd"/>
      <w:r w:rsidRPr="00595E70">
        <w:t xml:space="preserve">, n </w:t>
      </w:r>
      <w:r w:rsidRPr="00595E70">
        <w:rPr>
          <w:highlight w:val="yellow"/>
        </w:rPr>
        <w:fldChar w:fldCharType="begin"/>
      </w:r>
      <w:r w:rsidRPr="00595E70">
        <w:instrText xml:space="preserve"> NOTEREF _Ref413417862 \h </w:instrText>
      </w:r>
      <w:r w:rsidRPr="00595E70">
        <w:rPr>
          <w:highlight w:val="yellow"/>
        </w:rPr>
      </w:r>
      <w:r w:rsidRPr="00595E70">
        <w:rPr>
          <w:highlight w:val="yellow"/>
        </w:rPr>
        <w:fldChar w:fldCharType="separate"/>
      </w:r>
      <w:r w:rsidR="00B201F7">
        <w:t>3</w:t>
      </w:r>
      <w:r w:rsidRPr="00595E70">
        <w:rPr>
          <w:highlight w:val="yellow"/>
        </w:rPr>
        <w:fldChar w:fldCharType="end"/>
      </w:r>
      <w:r w:rsidRPr="00595E70">
        <w:t xml:space="preserve"> above.</w:t>
      </w:r>
    </w:p>
  </w:footnote>
  <w:footnote w:id="35">
    <w:p w14:paraId="1826E9D1" w14:textId="7D86CE02" w:rsidR="003C568B" w:rsidRPr="00595E70" w:rsidRDefault="003C568B" w:rsidP="00351398">
      <w:pPr>
        <w:pStyle w:val="Footnote"/>
      </w:pPr>
      <w:r w:rsidRPr="00595E70">
        <w:rPr>
          <w:vertAlign w:val="superscript"/>
        </w:rPr>
        <w:t>33</w:t>
      </w:r>
      <w:r>
        <w:tab/>
      </w:r>
      <w:r w:rsidRPr="00595E70">
        <w:t xml:space="preserve">See Beck n </w:t>
      </w:r>
      <w:r>
        <w:fldChar w:fldCharType="begin"/>
      </w:r>
      <w:r>
        <w:instrText xml:space="preserve"> NOTEREF _Ref413418321 \h  \* MERGEFORMAT </w:instrText>
      </w:r>
      <w:r>
        <w:fldChar w:fldCharType="separate"/>
      </w:r>
      <w:r w:rsidR="00B201F7">
        <w:t>8</w:t>
      </w:r>
      <w:r>
        <w:fldChar w:fldCharType="end"/>
      </w:r>
      <w:r w:rsidRPr="00595E70">
        <w:t xml:space="preserve"> above, 190.</w:t>
      </w:r>
    </w:p>
  </w:footnote>
  <w:footnote w:id="36">
    <w:p w14:paraId="27E4BFE8" w14:textId="77777777" w:rsidR="003C568B" w:rsidRPr="00595E70" w:rsidRDefault="003C568B" w:rsidP="00351398">
      <w:pPr>
        <w:pStyle w:val="Footnote"/>
      </w:pPr>
      <w:r w:rsidRPr="00595E70">
        <w:rPr>
          <w:rStyle w:val="FootnoteReference"/>
        </w:rPr>
        <w:footnoteRef/>
      </w:r>
      <w:r w:rsidRPr="00595E70">
        <w:tab/>
      </w:r>
      <w:proofErr w:type="spellStart"/>
      <w:proofErr w:type="gramStart"/>
      <w:r w:rsidRPr="00595E70">
        <w:t>Carrubba</w:t>
      </w:r>
      <w:proofErr w:type="spellEnd"/>
      <w:r w:rsidRPr="00595E70">
        <w:t xml:space="preserve"> et al. n </w:t>
      </w:r>
      <w:r>
        <w:fldChar w:fldCharType="begin"/>
      </w:r>
      <w:r>
        <w:instrText xml:space="preserve"> NOTEREF _Ref382492033 \h  \* MERGEFORMAT </w:instrText>
      </w:r>
      <w:r>
        <w:fldChar w:fldCharType="separate"/>
      </w:r>
      <w:r w:rsidR="00B201F7">
        <w:t>12</w:t>
      </w:r>
      <w:r>
        <w:fldChar w:fldCharType="end"/>
      </w:r>
      <w:r w:rsidRPr="00595E70">
        <w:t xml:space="preserve"> above.</w:t>
      </w:r>
      <w:proofErr w:type="gramEnd"/>
    </w:p>
  </w:footnote>
  <w:footnote w:id="37">
    <w:p w14:paraId="0DA2FDFA" w14:textId="3EB28F6C" w:rsidR="003C568B" w:rsidRPr="00595E70" w:rsidRDefault="003C568B" w:rsidP="00351398">
      <w:pPr>
        <w:pStyle w:val="Footnote"/>
      </w:pPr>
      <w:r w:rsidRPr="00595E70">
        <w:rPr>
          <w:rStyle w:val="FootnoteReference"/>
        </w:rPr>
        <w:footnoteRef/>
      </w:r>
      <w:r w:rsidRPr="00595E70">
        <w:tab/>
        <w:t>A. Stone Sweet</w:t>
      </w:r>
      <w:r w:rsidRPr="00595E70">
        <w:rPr>
          <w:i/>
        </w:rPr>
        <w:t>, The Judicial Construction of Europe</w:t>
      </w:r>
      <w:r w:rsidRPr="00595E70">
        <w:t xml:space="preserve"> (Oxford: OUP 2004). R. </w:t>
      </w:r>
      <w:proofErr w:type="spellStart"/>
      <w:r w:rsidRPr="00595E70">
        <w:t>Cichowski</w:t>
      </w:r>
      <w:proofErr w:type="spellEnd"/>
      <w:proofErr w:type="gramStart"/>
      <w:r w:rsidRPr="00595E70">
        <w:t>,.</w:t>
      </w:r>
      <w:proofErr w:type="gramEnd"/>
      <w:r w:rsidRPr="00595E70">
        <w:t xml:space="preserve">‘Integrating the Environment: The European Court and the Construction of Supranational Policy’ (1998) 5(3) </w:t>
      </w:r>
      <w:r w:rsidRPr="00595E70">
        <w:rPr>
          <w:i/>
        </w:rPr>
        <w:t>Journal of European Public Policy</w:t>
      </w:r>
      <w:r w:rsidRPr="00595E70">
        <w:t xml:space="preserve"> 387-405. R. </w:t>
      </w:r>
      <w:proofErr w:type="spellStart"/>
      <w:r w:rsidRPr="00595E70">
        <w:t>Cichowski</w:t>
      </w:r>
      <w:proofErr w:type="spellEnd"/>
      <w:r w:rsidRPr="00595E70">
        <w:t xml:space="preserve">, ‘Women’s Rights, the European Court, and Supranational Constitutionalism’ (2004) 38(3) </w:t>
      </w:r>
      <w:r w:rsidRPr="00595E70">
        <w:rPr>
          <w:i/>
        </w:rPr>
        <w:t>Law and Society Review</w:t>
      </w:r>
      <w:r w:rsidRPr="00595E70">
        <w:t xml:space="preserve"> 489-512. R. </w:t>
      </w:r>
      <w:proofErr w:type="spellStart"/>
      <w:r w:rsidRPr="00595E70">
        <w:t>Cichowski</w:t>
      </w:r>
      <w:proofErr w:type="spellEnd"/>
      <w:r w:rsidRPr="00595E70">
        <w:t xml:space="preserve">, </w:t>
      </w:r>
      <w:r w:rsidRPr="00595E70">
        <w:rPr>
          <w:i/>
        </w:rPr>
        <w:t>The European Court and Civil Society: Litigation, Mobilization and Governance</w:t>
      </w:r>
      <w:r w:rsidRPr="00595E70">
        <w:t xml:space="preserve"> (Cambridge: Cambridge University Press 2007). M. </w:t>
      </w:r>
      <w:proofErr w:type="spellStart"/>
      <w:r w:rsidRPr="00595E70">
        <w:t>McCown</w:t>
      </w:r>
      <w:proofErr w:type="spellEnd"/>
      <w:r w:rsidRPr="00595E70">
        <w:t xml:space="preserve">, ‘The European Parliament before the Bench: ECJ precedent and European Parliament Litigation Strategies’ (2003) 10(6) </w:t>
      </w:r>
      <w:r w:rsidRPr="00595E70">
        <w:rPr>
          <w:i/>
        </w:rPr>
        <w:t>Journal of European Public Policy</w:t>
      </w:r>
      <w:r>
        <w:t xml:space="preserve"> 974-995. S. </w:t>
      </w:r>
      <w:proofErr w:type="spellStart"/>
      <w:r>
        <w:t>Nyikos</w:t>
      </w:r>
      <w:proofErr w:type="spellEnd"/>
      <w:r>
        <w:t>, ‘</w:t>
      </w:r>
      <w:r w:rsidRPr="00595E70">
        <w:t xml:space="preserve">The Preliminary Reference Process: National Court Implementation, Changing Opportunity Structures and Litigant </w:t>
      </w:r>
      <w:proofErr w:type="spellStart"/>
      <w:r w:rsidRPr="00595E70">
        <w:t>Desistment</w:t>
      </w:r>
      <w:proofErr w:type="spellEnd"/>
      <w:r w:rsidRPr="00595E70">
        <w:t xml:space="preserve">’ (2003) 4(4) </w:t>
      </w:r>
      <w:r w:rsidRPr="00595E70">
        <w:rPr>
          <w:i/>
        </w:rPr>
        <w:t>European Union Politics</w:t>
      </w:r>
      <w:r w:rsidRPr="00595E70">
        <w:t xml:space="preserve"> 397-419. </w:t>
      </w:r>
    </w:p>
  </w:footnote>
  <w:footnote w:id="38">
    <w:p w14:paraId="40F6195E" w14:textId="77777777" w:rsidR="003C568B" w:rsidRPr="00595E70" w:rsidRDefault="003C568B" w:rsidP="00351398">
      <w:pPr>
        <w:pStyle w:val="Footnote"/>
      </w:pPr>
      <w:r w:rsidRPr="00595E70">
        <w:rPr>
          <w:rStyle w:val="FootnoteReference"/>
        </w:rPr>
        <w:footnoteRef/>
      </w:r>
      <w:r w:rsidRPr="00595E70">
        <w:tab/>
        <w:t xml:space="preserve">J. </w:t>
      </w:r>
      <w:proofErr w:type="spellStart"/>
      <w:r w:rsidRPr="00595E70">
        <w:t>Bengoetxea</w:t>
      </w:r>
      <w:proofErr w:type="spellEnd"/>
      <w:r w:rsidRPr="00595E70">
        <w:t xml:space="preserve">, N. McCormick and L. Moral Soriano, ‘Integration and Integrity in the Legal Reasoning of the European Court of Justice’, in G. De </w:t>
      </w:r>
      <w:proofErr w:type="spellStart"/>
      <w:r w:rsidRPr="00595E70">
        <w:t>Bùrca</w:t>
      </w:r>
      <w:proofErr w:type="spellEnd"/>
      <w:r w:rsidRPr="00595E70">
        <w:t xml:space="preserve"> and J.H.H. </w:t>
      </w:r>
      <w:proofErr w:type="spellStart"/>
      <w:r w:rsidRPr="00595E70">
        <w:t>Weiler</w:t>
      </w:r>
      <w:proofErr w:type="spellEnd"/>
      <w:r w:rsidRPr="00595E70">
        <w:t xml:space="preserve"> (</w:t>
      </w:r>
      <w:proofErr w:type="spellStart"/>
      <w:r w:rsidRPr="00595E70">
        <w:t>eds</w:t>
      </w:r>
      <w:proofErr w:type="spellEnd"/>
      <w:r w:rsidRPr="00595E70">
        <w:t xml:space="preserve">) </w:t>
      </w:r>
      <w:r w:rsidRPr="00595E70">
        <w:rPr>
          <w:i/>
        </w:rPr>
        <w:t>The European Court of Justice</w:t>
      </w:r>
      <w:r w:rsidRPr="00595E70">
        <w:t xml:space="preserve"> (Oxford: OUP 2001), 43.</w:t>
      </w:r>
    </w:p>
  </w:footnote>
  <w:footnote w:id="39">
    <w:p w14:paraId="3C37F1CE" w14:textId="680E5093" w:rsidR="003C568B" w:rsidRPr="00595E70" w:rsidRDefault="003C568B" w:rsidP="00351398">
      <w:pPr>
        <w:pStyle w:val="Footnote"/>
        <w:rPr>
          <w:lang w:val="en-US"/>
        </w:rPr>
      </w:pPr>
      <w:r w:rsidRPr="00256C2B">
        <w:rPr>
          <w:rStyle w:val="FootnoteReference"/>
        </w:rPr>
        <w:footnoteRef/>
      </w:r>
      <w:r w:rsidRPr="00256C2B">
        <w:t xml:space="preserve"> The procedure for a preliminary ruling is prompted by a reference from a national court of a EU Member State, requiring the interpretation of a point of European Law, which might indirectly involve the infringement of EU law by the Member State. For direct infringement, </w:t>
      </w:r>
      <w:proofErr w:type="gramStart"/>
      <w:r w:rsidRPr="00256C2B">
        <w:t>Breach Proceedings can be brought by the Commission against the allegedly infringing Member State</w:t>
      </w:r>
      <w:proofErr w:type="gramEnd"/>
      <w:r w:rsidRPr="00256C2B">
        <w:t xml:space="preserve">, but these </w:t>
      </w:r>
      <w:r w:rsidRPr="00256C2B">
        <w:rPr>
          <w:rFonts w:cs="Segoe UI"/>
          <w:shd w:val="clear" w:color="auto" w:fill="FFFFFF"/>
        </w:rPr>
        <w:t xml:space="preserve">have not contributed to the development of copyright jurisprudence. </w:t>
      </w:r>
      <w:r w:rsidRPr="00256C2B">
        <w:t xml:space="preserve">Breach Procedures also </w:t>
      </w:r>
      <w:r w:rsidRPr="00256C2B">
        <w:rPr>
          <w:shd w:val="clear" w:color="auto" w:fill="FFFFFF"/>
        </w:rPr>
        <w:t xml:space="preserve">present a different decision structure and would not be </w:t>
      </w:r>
      <w:proofErr w:type="spellStart"/>
      <w:r w:rsidRPr="00256C2B">
        <w:rPr>
          <w:shd w:val="clear" w:color="auto" w:fill="FFFFFF"/>
        </w:rPr>
        <w:t>codable</w:t>
      </w:r>
      <w:proofErr w:type="spellEnd"/>
      <w:r w:rsidRPr="00256C2B">
        <w:rPr>
          <w:shd w:val="clear" w:color="auto" w:fill="FFFFFF"/>
        </w:rPr>
        <w:t xml:space="preserve"> by the categories we employ for statistical analysis (for example, outcome of the case classified as ‘</w:t>
      </w:r>
      <w:proofErr w:type="spellStart"/>
      <w:r w:rsidRPr="00256C2B">
        <w:rPr>
          <w:shd w:val="clear" w:color="auto" w:fill="FFFFFF"/>
        </w:rPr>
        <w:t>rightholder</w:t>
      </w:r>
      <w:proofErr w:type="spellEnd"/>
      <w:r w:rsidRPr="00256C2B">
        <w:rPr>
          <w:shd w:val="clear" w:color="auto" w:fill="FFFFFF"/>
        </w:rPr>
        <w:t xml:space="preserve"> wins = 1; </w:t>
      </w:r>
      <w:proofErr w:type="spellStart"/>
      <w:r w:rsidRPr="00256C2B">
        <w:rPr>
          <w:shd w:val="clear" w:color="auto" w:fill="FFFFFF"/>
        </w:rPr>
        <w:t>rightholder</w:t>
      </w:r>
      <w:proofErr w:type="spellEnd"/>
      <w:r w:rsidRPr="00256C2B">
        <w:rPr>
          <w:shd w:val="clear" w:color="auto" w:fill="FFFFFF"/>
        </w:rPr>
        <w:t xml:space="preserve"> loses = 0’). Breech Procedures remain outside the scope of this study.</w:t>
      </w:r>
      <w:r w:rsidRPr="00256C2B">
        <w:rPr>
          <w:lang w:val="en-US"/>
        </w:rPr>
        <w:t xml:space="preserve"> Since the ECJ does not have any influence over preliminary references from courts in Member States, there are no ‘selection effects’, e.g. that the Court may have admitted cases for certain reasons.</w:t>
      </w:r>
    </w:p>
  </w:footnote>
  <w:footnote w:id="40">
    <w:p w14:paraId="494450B0" w14:textId="752A64D5" w:rsidR="003C568B" w:rsidRPr="00595E70" w:rsidRDefault="003C568B" w:rsidP="00BD646B">
      <w:pPr>
        <w:pStyle w:val="Footnote"/>
      </w:pPr>
      <w:r w:rsidRPr="00595E70">
        <w:rPr>
          <w:rStyle w:val="Footnoteanchor"/>
        </w:rPr>
        <w:footnoteRef/>
      </w:r>
      <w:r w:rsidRPr="00595E70">
        <w:tab/>
        <w:t xml:space="preserve">Council Directive 2001/29/EC of 22 May 2001 on the harmonisation of certain aspects of copyright and related rights in the information society, </w:t>
      </w:r>
      <w:r w:rsidRPr="00595E70">
        <w:rPr>
          <w:i/>
        </w:rPr>
        <w:t>OJ L 167, 22.06.2001 P. 10 – 19</w:t>
      </w:r>
      <w:r w:rsidRPr="00595E70">
        <w:t xml:space="preserve">; Council Directive 92/100/EEC of 19 November 1992 on rental right and lending right and on certain rights related to copyright in the field of intellectual property, </w:t>
      </w:r>
      <w:r w:rsidRPr="00595E70">
        <w:rPr>
          <w:i/>
        </w:rPr>
        <w:t>OJ L 346, 27.11.1992, p. 61–66</w:t>
      </w:r>
      <w:r w:rsidRPr="00595E70">
        <w:t xml:space="preserve">. Directive 92/100/EEC has been repealed and replaced by Directive 2006/115/EC, </w:t>
      </w:r>
      <w:proofErr w:type="spellStart"/>
      <w:r w:rsidRPr="00595E70">
        <w:t>withoutprejudice</w:t>
      </w:r>
      <w:proofErr w:type="spellEnd"/>
      <w:r w:rsidRPr="00595E70">
        <w:t xml:space="preserve"> to the obligations of the Member States relating to the time-limits for transposition into national law of the Directives; Council Directive 93/83/EEC of 27 September 1993 on the coordination of certain rules concerning copyright and rights related to copyright applicable to satellite broadcasting and cable retransmission, </w:t>
      </w:r>
      <w:r w:rsidRPr="00595E70">
        <w:rPr>
          <w:i/>
        </w:rPr>
        <w:t>OJ L 248, 6.10.1993, p. 15–21</w:t>
      </w:r>
      <w:r w:rsidRPr="00595E70">
        <w:t xml:space="preserve">; Directive 2001/84/EC of the European Parliament and of the Council of 27 September 2001 on the resale right for the benefit of the author of an original work of art, </w:t>
      </w:r>
      <w:r w:rsidRPr="00595E70">
        <w:rPr>
          <w:i/>
        </w:rPr>
        <w:t>OJ L 272, 13.10.2001, p. 32–36</w:t>
      </w:r>
      <w:r w:rsidRPr="00595E70">
        <w:t xml:space="preserve">; Council Directive 93/98/EEC of 29 October 1993 harmonizing the term of protection of copyright and certain related rights, </w:t>
      </w:r>
      <w:r w:rsidRPr="00595E70">
        <w:rPr>
          <w:i/>
        </w:rPr>
        <w:t>OJ L 290, 24.11.1993, p. 9–13</w:t>
      </w:r>
      <w:r w:rsidRPr="00595E70">
        <w:t xml:space="preserve">. Directive 2006/116/EC of the European Parliament and of the Council of 12 December 2006 on the term of protection of copyright and certain related rights, </w:t>
      </w:r>
      <w:r w:rsidRPr="00595E70">
        <w:rPr>
          <w:i/>
        </w:rPr>
        <w:t>OJ L 372, 27.12.2006, p. 12-18</w:t>
      </w:r>
      <w:r w:rsidRPr="00595E70">
        <w:t xml:space="preserve">; Directive 2012/28/EU of the European Parliament and of the Council of 25 October 2012 on certain permitted uses of orphan works </w:t>
      </w:r>
      <w:r w:rsidRPr="00595E70">
        <w:rPr>
          <w:i/>
        </w:rPr>
        <w:t>OJ L 299, 27.10.2012, p. 5-12</w:t>
      </w:r>
      <w:r w:rsidRPr="00595E70">
        <w:t xml:space="preserve">; Council Directive 91/250/EEC of 14 May 1991 on the legal protection of computer programs, </w:t>
      </w:r>
      <w:r w:rsidRPr="00595E70">
        <w:rPr>
          <w:i/>
        </w:rPr>
        <w:t>OJ L 122, 17.05.1991 p. 42 – 46</w:t>
      </w:r>
      <w:r w:rsidRPr="00595E70">
        <w:t xml:space="preserve">. Directive 2009/24/EC of the European Parliament and of the Council of 23 April 2009 on the legal protection of computer programs, </w:t>
      </w:r>
      <w:r w:rsidRPr="00595E70">
        <w:rPr>
          <w:i/>
        </w:rPr>
        <w:t>OJ L 111, 05.05.2009, p. 16 -22</w:t>
      </w:r>
      <w:r w:rsidRPr="00595E70">
        <w:t xml:space="preserve">; Directive 98/84/EC of the European Parliament and of the Council of 20 November 1998 on the legal protection of services based on, or consisting of, conditional access, </w:t>
      </w:r>
      <w:r w:rsidRPr="00595E70">
        <w:rPr>
          <w:i/>
        </w:rPr>
        <w:t xml:space="preserve">OJ L 320, 1998-11-28, pp. 54–57; </w:t>
      </w:r>
      <w:r w:rsidRPr="00595E70">
        <w:t>Directives on the</w:t>
      </w:r>
      <w:r>
        <w:t xml:space="preserve"> </w:t>
      </w:r>
      <w:r w:rsidRPr="00595E70">
        <w:t xml:space="preserve">protection of semiconductor topographies (87/54/EC, 94/824/EC, 96/644/EC); Directive 2004/48/EC of the European Parliament and of the Council of 29 April 2004 on the enforcement of intellectual property rights </w:t>
      </w:r>
      <w:r w:rsidRPr="00595E70">
        <w:rPr>
          <w:i/>
        </w:rPr>
        <w:t>OJ L 195/16, 02.06.2004, p. 16-25</w:t>
      </w:r>
      <w:r w:rsidRPr="00595E70">
        <w:t>.</w:t>
      </w:r>
      <w:r w:rsidRPr="00BD646B">
        <w:t xml:space="preserve"> </w:t>
      </w:r>
    </w:p>
  </w:footnote>
  <w:footnote w:id="41">
    <w:p w14:paraId="7D261888" w14:textId="3D060A7D" w:rsidR="003C568B" w:rsidRPr="00EC59BA" w:rsidRDefault="003C568B" w:rsidP="00EC59BA">
      <w:pPr>
        <w:pStyle w:val="Footnote"/>
        <w:rPr>
          <w:lang w:val="en-US"/>
        </w:rPr>
      </w:pPr>
      <w:r>
        <w:rPr>
          <w:rStyle w:val="FootnoteReference"/>
        </w:rPr>
        <w:footnoteRef/>
      </w:r>
      <w:r>
        <w:t xml:space="preserve"> </w:t>
      </w:r>
      <w:r>
        <w:tab/>
      </w:r>
      <w:r w:rsidRPr="00595E70">
        <w:t>Directive 96/9/EC of the European Parliament and of the Council of 11 March 1996 on the legal protection of databases </w:t>
      </w:r>
      <w:r w:rsidRPr="00595E70">
        <w:rPr>
          <w:i/>
        </w:rPr>
        <w:t>OJ L 077, 27/03/1996 P. 0020 – 0028</w:t>
      </w:r>
      <w:r w:rsidRPr="00595E70">
        <w:t>.</w:t>
      </w:r>
    </w:p>
  </w:footnote>
  <w:footnote w:id="42">
    <w:p w14:paraId="7361C8A1" w14:textId="1817BB10" w:rsidR="003C568B" w:rsidRPr="00595E70" w:rsidRDefault="003C568B" w:rsidP="00351398">
      <w:pPr>
        <w:pStyle w:val="Footnote"/>
        <w:rPr>
          <w:rFonts w:ascii="Times" w:eastAsia="Times New Roman" w:hAnsi="Times"/>
          <w:lang w:eastAsia="en-US"/>
        </w:rPr>
      </w:pPr>
      <w:r w:rsidRPr="00595E70">
        <w:rPr>
          <w:rStyle w:val="FootnoteReference"/>
        </w:rPr>
        <w:footnoteRef/>
      </w:r>
      <w:r w:rsidRPr="00595E70">
        <w:t xml:space="preserve"> </w:t>
      </w:r>
      <w:r>
        <w:tab/>
      </w:r>
      <w:r w:rsidRPr="00595E70">
        <w:t xml:space="preserve">M. A. Hall and R. F. Wright, ‘Systematic Content Analysis of Judicial Opinions’, </w:t>
      </w:r>
      <w:r w:rsidRPr="00595E70">
        <w:rPr>
          <w:rFonts w:eastAsia="Times New Roman" w:cs="Arial"/>
          <w:shd w:val="clear" w:color="auto" w:fill="FFFFFF"/>
          <w:lang w:eastAsia="en-US"/>
        </w:rPr>
        <w:t>96 Cal. L. Rev. 63 (2008);</w:t>
      </w:r>
      <w:r>
        <w:rPr>
          <w:rFonts w:eastAsia="Times New Roman" w:cs="Arial"/>
          <w:shd w:val="clear" w:color="auto" w:fill="FFFFFF"/>
          <w:lang w:eastAsia="en-US"/>
        </w:rPr>
        <w:t xml:space="preserve"> </w:t>
      </w:r>
      <w:r w:rsidRPr="00595E70">
        <w:t xml:space="preserve">Fred </w:t>
      </w:r>
      <w:proofErr w:type="spellStart"/>
      <w:r w:rsidRPr="00595E70">
        <w:t>Kort</w:t>
      </w:r>
      <w:proofErr w:type="spellEnd"/>
      <w:r w:rsidRPr="00595E70">
        <w:t xml:space="preserve">, ‘Content Analysis of Judicial Opinions and Rules of Law’, in </w:t>
      </w:r>
      <w:r w:rsidRPr="00595E70">
        <w:rPr>
          <w:i/>
        </w:rPr>
        <w:t>Judicial Decision-making</w:t>
      </w:r>
      <w:r w:rsidRPr="00595E70">
        <w:t xml:space="preserve"> 133 (</w:t>
      </w:r>
      <w:proofErr w:type="spellStart"/>
      <w:r w:rsidRPr="00595E70">
        <w:t>Glendon</w:t>
      </w:r>
      <w:proofErr w:type="spellEnd"/>
      <w:r w:rsidRPr="00595E70">
        <w:t xml:space="preserve"> Schubert, ed. 1963); R. C. </w:t>
      </w:r>
      <w:proofErr w:type="spellStart"/>
      <w:r w:rsidRPr="00595E70">
        <w:t>Lawlor</w:t>
      </w:r>
      <w:proofErr w:type="spellEnd"/>
      <w:r w:rsidRPr="00595E70">
        <w:t xml:space="preserve">, ‘Fact Content Analysis of Judicial Opinions’, 8 </w:t>
      </w:r>
      <w:r w:rsidRPr="00595E70">
        <w:rPr>
          <w:i/>
        </w:rPr>
        <w:t>Jurimetrics</w:t>
      </w:r>
      <w:r w:rsidRPr="00595E70">
        <w:t xml:space="preserve"> J. 107, 110 (1968); B. Beebe, ‘An Empirical Study of U.S. Copyright Fair Use Opinions’, (2008) 156 </w:t>
      </w:r>
      <w:r w:rsidRPr="00595E70">
        <w:rPr>
          <w:i/>
        </w:rPr>
        <w:t>Pennsylvania Law Review</w:t>
      </w:r>
      <w:r w:rsidRPr="00595E70">
        <w:t xml:space="preserve"> 549; B. Beebe, ‘An Empirical Study of the Multifactor Tests for Trademark Infringement’, (2006) 95 </w:t>
      </w:r>
      <w:r w:rsidRPr="00595E70">
        <w:rPr>
          <w:i/>
        </w:rPr>
        <w:t>California Law Review</w:t>
      </w:r>
      <w:r w:rsidRPr="00595E70">
        <w:t xml:space="preserve"> 1581; M. Sag, ‘Predicting Fair Use’ (2012) 73(1) </w:t>
      </w:r>
      <w:r w:rsidRPr="00595E70">
        <w:rPr>
          <w:i/>
        </w:rPr>
        <w:t>Ohio State Law Journal</w:t>
      </w:r>
      <w:r w:rsidRPr="00595E70">
        <w:t xml:space="preserve"> 47-91.</w:t>
      </w:r>
    </w:p>
  </w:footnote>
  <w:footnote w:id="43">
    <w:p w14:paraId="548B8149" w14:textId="55C09821" w:rsidR="003C568B" w:rsidRPr="00BD646B" w:rsidRDefault="003C568B" w:rsidP="00BD646B">
      <w:pPr>
        <w:pStyle w:val="Footnote"/>
        <w:rPr>
          <w:lang w:val="en-US"/>
        </w:rPr>
      </w:pPr>
      <w:r>
        <w:rPr>
          <w:rStyle w:val="FootnoteReference"/>
        </w:rPr>
        <w:footnoteRef/>
      </w:r>
      <w:r>
        <w:t xml:space="preserve"> </w:t>
      </w:r>
      <w:r>
        <w:tab/>
      </w:r>
      <w:r w:rsidRPr="00F4119B">
        <w:t>For transparency, coding was recorded in a Codebook which will be made available onl</w:t>
      </w:r>
      <w:r>
        <w:t xml:space="preserve">ine on the website of the </w:t>
      </w:r>
      <w:proofErr w:type="spellStart"/>
      <w:r>
        <w:t>CREATe</w:t>
      </w:r>
      <w:proofErr w:type="spellEnd"/>
      <w:r>
        <w:t xml:space="preserve"> centre</w:t>
      </w:r>
      <w:r w:rsidRPr="00F4119B">
        <w:t>.</w:t>
      </w:r>
    </w:p>
  </w:footnote>
  <w:footnote w:id="44">
    <w:p w14:paraId="095ACDCA" w14:textId="77777777" w:rsidR="003C568B" w:rsidRPr="00595E70" w:rsidRDefault="003C568B" w:rsidP="00351398">
      <w:pPr>
        <w:pStyle w:val="Footnote"/>
        <w:rPr>
          <w:rFonts w:ascii="Calibri"/>
        </w:rPr>
      </w:pPr>
      <w:r w:rsidRPr="00595E70">
        <w:rPr>
          <w:rStyle w:val="FootnoteReference"/>
        </w:rPr>
        <w:footnoteRef/>
      </w:r>
      <w:r w:rsidRPr="00595E70">
        <w:rPr>
          <w:rFonts w:eastAsia="Times New Roman"/>
        </w:rPr>
        <w:tab/>
      </w:r>
      <w:proofErr w:type="gramStart"/>
      <w:r w:rsidRPr="00595E70">
        <w:rPr>
          <w:rFonts w:cstheme="minorHAnsi"/>
        </w:rPr>
        <w:t>n</w:t>
      </w:r>
      <w:proofErr w:type="gramEnd"/>
      <w:r>
        <w:fldChar w:fldCharType="begin"/>
      </w:r>
      <w:r>
        <w:instrText xml:space="preserve"> NOTEREF _Ref383616168 \h  \* MERGEFORMAT </w:instrText>
      </w:r>
      <w:r>
        <w:fldChar w:fldCharType="separate"/>
      </w:r>
      <w:r w:rsidR="00B201F7" w:rsidRPr="00B201F7">
        <w:rPr>
          <w:rFonts w:cstheme="minorHAnsi"/>
        </w:rPr>
        <w:t>39</w:t>
      </w:r>
      <w:r>
        <w:fldChar w:fldCharType="end"/>
      </w:r>
      <w:r w:rsidRPr="00595E70">
        <w:rPr>
          <w:rFonts w:cstheme="minorHAnsi"/>
        </w:rPr>
        <w:t xml:space="preserve"> above</w:t>
      </w:r>
      <w:r w:rsidRPr="00595E70">
        <w:rPr>
          <w:rFonts w:ascii="Calibri"/>
        </w:rPr>
        <w:t>.</w:t>
      </w:r>
    </w:p>
  </w:footnote>
  <w:footnote w:id="45">
    <w:p w14:paraId="7B957740" w14:textId="77777777" w:rsidR="003C568B" w:rsidRPr="00595E70" w:rsidRDefault="003C568B" w:rsidP="00351398">
      <w:pPr>
        <w:pStyle w:val="Footnote"/>
      </w:pPr>
      <w:r w:rsidRPr="00595E70">
        <w:rPr>
          <w:rStyle w:val="FootnoteReference"/>
        </w:rPr>
        <w:footnoteRef/>
      </w:r>
      <w:r w:rsidRPr="00595E70">
        <w:tab/>
        <w:t xml:space="preserve">Article 60 Rules of Proceedings of the ECJ: ‘Assignment of cases to formations of the Court: </w:t>
      </w:r>
    </w:p>
    <w:p w14:paraId="300CCD49" w14:textId="77777777" w:rsidR="003C568B" w:rsidRPr="00595E70" w:rsidRDefault="003C568B" w:rsidP="00351398">
      <w:pPr>
        <w:pStyle w:val="Footnote"/>
      </w:pPr>
      <w:r w:rsidRPr="00595E70">
        <w:tab/>
        <w:t xml:space="preserve">1. The Court shall assign to the Chambers of five and of three Judges any case brought before it in so far as the difficulty or importance of the case or particular circumstances are not such as to require that it should be assigned to the Grand Chamber, unless a Member State or an institution of the European Union participating in the proceedings has requested that the case be assigned to the Grand Chamber, pursuant to the third paragraph of Article 16 of the Statute. </w:t>
      </w:r>
    </w:p>
    <w:p w14:paraId="762C26E2" w14:textId="77777777" w:rsidR="003C568B" w:rsidRPr="00595E70" w:rsidRDefault="003C568B" w:rsidP="00351398">
      <w:pPr>
        <w:pStyle w:val="Footnote"/>
      </w:pPr>
      <w:r w:rsidRPr="00595E70">
        <w:tab/>
        <w:t xml:space="preserve">2. The Court shall sit as a full Court where cases are brought before it pursuant to the provisions referred to in the fourth paragraph of Article 16 of the Statute. It may assign a case to the full Court where, in accordance with the fifth paragraph of Article 16 of the Statute, it considers that the case is of exceptional importance.’ See the Rules of Procedure of the Court Of Justice, L 265/1 </w:t>
      </w:r>
      <w:r w:rsidRPr="00595E70">
        <w:rPr>
          <w:i/>
        </w:rPr>
        <w:t>Official Journal of the European Union</w:t>
      </w:r>
      <w:r w:rsidRPr="00595E70">
        <w:t xml:space="preserve">, 29.9.2012, available at </w:t>
      </w:r>
      <w:hyperlink r:id="rId1" w:history="1">
        <w:r w:rsidRPr="00595E70">
          <w:rPr>
            <w:u w:val="single"/>
          </w:rPr>
          <w:t>http://eur-lex.europa.eu/LexUriServ/LexUriServ.do?uri=OJ:L:2012:265:0001:0042:EN:PDF</w:t>
        </w:r>
      </w:hyperlink>
    </w:p>
  </w:footnote>
  <w:footnote w:id="46">
    <w:p w14:paraId="16DCA33E" w14:textId="395D7E7D" w:rsidR="003C568B" w:rsidRPr="00595E70" w:rsidRDefault="003C568B" w:rsidP="00351398">
      <w:pPr>
        <w:pStyle w:val="Footnote"/>
      </w:pPr>
      <w:r w:rsidRPr="00595E70">
        <w:rPr>
          <w:rStyle w:val="FootnoteReference"/>
        </w:rPr>
        <w:footnoteRef/>
      </w:r>
      <w:r w:rsidRPr="00595E70">
        <w:t xml:space="preserve"> In our sample, all cases in chronological order are assigned to the Court in Plenary formation up to C-60/98 </w:t>
      </w:r>
      <w:r w:rsidRPr="00595E70">
        <w:rPr>
          <w:i/>
          <w:lang w:val="en-US"/>
        </w:rPr>
        <w:t>Scarlet Extended</w:t>
      </w:r>
      <w:r w:rsidRPr="00595E70">
        <w:rPr>
          <w:lang w:val="en-US"/>
        </w:rPr>
        <w:t xml:space="preserve"> [2011] ECR I-11959)</w:t>
      </w:r>
      <w:r>
        <w:t>. The f</w:t>
      </w:r>
      <w:r w:rsidRPr="00595E70">
        <w:t>ollowing case</w:t>
      </w:r>
      <w:r>
        <w:t>s</w:t>
      </w:r>
      <w:r w:rsidRPr="00595E70">
        <w:t xml:space="preserve"> lodged from 1998, starting with C-293/98- </w:t>
      </w:r>
      <w:proofErr w:type="spellStart"/>
      <w:r w:rsidRPr="00595E70">
        <w:t>Egeda</w:t>
      </w:r>
      <w:proofErr w:type="spellEnd"/>
      <w:r w:rsidRPr="00595E70">
        <w:t xml:space="preserve"> (ECLI</w:t>
      </w:r>
      <w:proofErr w:type="gramStart"/>
      <w:r w:rsidRPr="00595E70">
        <w:t>:EU:C:2012:85</w:t>
      </w:r>
      <w:proofErr w:type="gramEnd"/>
      <w:r w:rsidRPr="00595E70">
        <w:rPr>
          <w:rFonts w:ascii="Tahoma" w:hAnsi="Tahoma" w:cs="Tahoma"/>
          <w:sz w:val="18"/>
          <w:szCs w:val="18"/>
          <w:shd w:val="clear" w:color="auto" w:fill="FFFFFF"/>
        </w:rPr>
        <w:t>)</w:t>
      </w:r>
      <w:r>
        <w:t>, were</w:t>
      </w:r>
      <w:r w:rsidRPr="00595E70">
        <w:t xml:space="preserve"> assigned to the Court in Chamber formation. </w:t>
      </w:r>
    </w:p>
  </w:footnote>
  <w:footnote w:id="47">
    <w:p w14:paraId="293D1F17" w14:textId="35CAAFAA" w:rsidR="003C568B" w:rsidRPr="009772B4" w:rsidRDefault="003C568B" w:rsidP="009772B4">
      <w:pPr>
        <w:pStyle w:val="Footnote"/>
        <w:rPr>
          <w:lang w:eastAsia="en-US"/>
        </w:rPr>
      </w:pPr>
      <w:r w:rsidRPr="00595E70">
        <w:rPr>
          <w:rStyle w:val="FootnoteReference"/>
        </w:rPr>
        <w:footnoteRef/>
      </w:r>
      <w:r>
        <w:rPr>
          <w:lang w:eastAsia="en-US"/>
        </w:rPr>
        <w:tab/>
      </w:r>
      <w:r w:rsidRPr="00595E70">
        <w:rPr>
          <w:lang w:eastAsia="en-US"/>
        </w:rPr>
        <w:t xml:space="preserve">Statistical significance at the 5% level (i.e. a p-value of .05) is considered high. At the 1% level (p-value of .01), the </w:t>
      </w:r>
      <w:r w:rsidRPr="00EC59BA">
        <w:t>null</w:t>
      </w:r>
      <w:r w:rsidRPr="00595E70">
        <w:rPr>
          <w:lang w:eastAsia="en-US"/>
        </w:rPr>
        <w:t xml:space="preserve"> hypothesis (that the cases are randomly distributed) can be ruled out.</w:t>
      </w:r>
    </w:p>
  </w:footnote>
  <w:footnote w:id="48">
    <w:p w14:paraId="28DE745F" w14:textId="77777777" w:rsidR="003C568B" w:rsidRPr="00595E70" w:rsidRDefault="003C568B" w:rsidP="00351398">
      <w:pPr>
        <w:pStyle w:val="Footnote"/>
      </w:pPr>
      <w:r w:rsidRPr="00595E70">
        <w:rPr>
          <w:rStyle w:val="FootnoteReference"/>
        </w:rPr>
        <w:footnoteRef/>
      </w:r>
      <w:r w:rsidRPr="00595E70">
        <w:t xml:space="preserve"> AG </w:t>
      </w:r>
      <w:proofErr w:type="spellStart"/>
      <w:r w:rsidRPr="00595E70">
        <w:t>Stix-Hackl</w:t>
      </w:r>
      <w:proofErr w:type="spellEnd"/>
      <w:r w:rsidRPr="00595E70">
        <w:t xml:space="preserve"> in fact appears to have the highest share of cases but this is a false positive, as the four cases assigned to her are in fact four parallel cases regarding the same factual situation (C-444/02 </w:t>
      </w:r>
      <w:r w:rsidRPr="00595E70">
        <w:rPr>
          <w:i/>
        </w:rPr>
        <w:t>Fixtures Marketing</w:t>
      </w:r>
      <w:r w:rsidRPr="00595E70">
        <w:t xml:space="preserve"> [2004] ECR I-10549, C-338/02 </w:t>
      </w:r>
      <w:r w:rsidRPr="00595E70">
        <w:rPr>
          <w:i/>
        </w:rPr>
        <w:t>Fixtures Marketing</w:t>
      </w:r>
      <w:r w:rsidRPr="00595E70">
        <w:t xml:space="preserve"> [2004] ECR I-10497, C-203/02 </w:t>
      </w:r>
      <w:r w:rsidRPr="00595E70">
        <w:rPr>
          <w:i/>
        </w:rPr>
        <w:t>The British Horseracing Board</w:t>
      </w:r>
      <w:r w:rsidRPr="00595E70">
        <w:t xml:space="preserve"> [2004] ECR I-10415, C-46/02 </w:t>
      </w:r>
      <w:r w:rsidRPr="00595E70">
        <w:rPr>
          <w:i/>
        </w:rPr>
        <w:t>Fixtures Marketing</w:t>
      </w:r>
      <w:r w:rsidRPr="00595E70">
        <w:t xml:space="preserve"> [2004] ECR I-10365).</w:t>
      </w:r>
    </w:p>
  </w:footnote>
  <w:footnote w:id="49">
    <w:p w14:paraId="79233122" w14:textId="6524E102" w:rsidR="003C568B" w:rsidRPr="00595E70" w:rsidRDefault="003C568B" w:rsidP="00351398">
      <w:pPr>
        <w:pStyle w:val="Footnote"/>
      </w:pPr>
      <w:r w:rsidRPr="00595E70">
        <w:rPr>
          <w:rStyle w:val="FootnoteReference"/>
        </w:rPr>
        <w:footnoteRef/>
      </w:r>
      <w:r w:rsidRPr="00595E70">
        <w:tab/>
        <w:t xml:space="preserve">This observation was first made with reference to a first-generation of intellectual property cases before the Court that show a prevalence of Advocate General Francis Jacobs and Reporting Judge Claus Christian </w:t>
      </w:r>
      <w:proofErr w:type="spellStart"/>
      <w:r w:rsidRPr="00595E70">
        <w:t>Gulman</w:t>
      </w:r>
      <w:r>
        <w:t>n</w:t>
      </w:r>
      <w:proofErr w:type="spellEnd"/>
      <w:r w:rsidRPr="00595E70">
        <w:t xml:space="preserve"> (who in turn was previously Advocate General before the Court). See </w:t>
      </w:r>
      <w:r>
        <w:t>N. Burrows and R.</w:t>
      </w:r>
      <w:r w:rsidRPr="003B2D9A">
        <w:t xml:space="preserve"> Greaves, </w:t>
      </w:r>
      <w:r w:rsidRPr="003B2D9A">
        <w:rPr>
          <w:i/>
        </w:rPr>
        <w:t>The Advocate General and EC Law</w:t>
      </w:r>
      <w:r w:rsidRPr="003B2D9A">
        <w:t xml:space="preserve"> (</w:t>
      </w:r>
      <w:r>
        <w:t xml:space="preserve">Oxford: </w:t>
      </w:r>
      <w:r w:rsidRPr="003B2D9A">
        <w:t>OUP 2007)</w:t>
      </w:r>
      <w:r w:rsidRPr="00595E70">
        <w:t>, 128.</w:t>
      </w:r>
    </w:p>
  </w:footnote>
  <w:footnote w:id="50">
    <w:p w14:paraId="5620D046" w14:textId="77777777" w:rsidR="003C568B" w:rsidRPr="00595E70" w:rsidRDefault="003C568B" w:rsidP="00351398">
      <w:pPr>
        <w:pStyle w:val="Footnote"/>
      </w:pPr>
      <w:r w:rsidRPr="00595E70">
        <w:rPr>
          <w:rStyle w:val="FootnoteReference"/>
        </w:rPr>
        <w:footnoteRef/>
      </w:r>
      <w:r w:rsidRPr="00595E70">
        <w:tab/>
      </w:r>
      <w:proofErr w:type="gramStart"/>
      <w:r w:rsidRPr="00595E70">
        <w:rPr>
          <w:i/>
        </w:rPr>
        <w:t>ibid</w:t>
      </w:r>
      <w:r w:rsidRPr="00595E70">
        <w:t>, 297.</w:t>
      </w:r>
      <w:proofErr w:type="gramEnd"/>
    </w:p>
  </w:footnote>
  <w:footnote w:id="51">
    <w:p w14:paraId="43E2EF10" w14:textId="77777777" w:rsidR="003C568B" w:rsidRPr="00595E70" w:rsidRDefault="003C568B" w:rsidP="00351398">
      <w:pPr>
        <w:pStyle w:val="Footnote"/>
      </w:pPr>
      <w:r w:rsidRPr="00595E70">
        <w:rPr>
          <w:rStyle w:val="FootnoteReference"/>
        </w:rPr>
        <w:footnoteRef/>
      </w:r>
      <w:r w:rsidRPr="00595E70">
        <w:tab/>
        <w:t xml:space="preserve">L. </w:t>
      </w:r>
      <w:proofErr w:type="spellStart"/>
      <w:r w:rsidRPr="00595E70">
        <w:t>Bently</w:t>
      </w:r>
      <w:proofErr w:type="spellEnd"/>
      <w:r w:rsidRPr="00595E70">
        <w:t xml:space="preserve">, ‘The return of industrial copyright?’ </w:t>
      </w:r>
      <w:proofErr w:type="gramStart"/>
      <w:r w:rsidRPr="00595E70">
        <w:t>(2012) 34(10) EIPR654-672, 663.</w:t>
      </w:r>
      <w:proofErr w:type="gramEnd"/>
    </w:p>
  </w:footnote>
  <w:footnote w:id="52">
    <w:p w14:paraId="73FA0649" w14:textId="1C85B773" w:rsidR="003C568B" w:rsidRPr="00595E70" w:rsidRDefault="003C568B" w:rsidP="00351398">
      <w:pPr>
        <w:pStyle w:val="Footnote"/>
      </w:pPr>
      <w:r w:rsidRPr="00595E70">
        <w:rPr>
          <w:rStyle w:val="FootnoteReference"/>
        </w:rPr>
        <w:footnoteRef/>
      </w:r>
      <w:r w:rsidRPr="00595E70">
        <w:tab/>
        <w:t xml:space="preserve">Lisbon Treaty, Article 19 available </w:t>
      </w:r>
      <w:hyperlink r:id="rId2" w:history="1">
        <w:r w:rsidRPr="00595E70">
          <w:rPr>
            <w:u w:val="single"/>
          </w:rPr>
          <w:t>http://register.consilium.europa.eu/pdf/en/08/st06/st06655-re07.en08.pdf</w:t>
        </w:r>
      </w:hyperlink>
      <w:r>
        <w:t xml:space="preserve"> (last accessed 28 June 2015</w:t>
      </w:r>
      <w:r w:rsidRPr="00595E70">
        <w:t>).</w:t>
      </w:r>
    </w:p>
  </w:footnote>
  <w:footnote w:id="53">
    <w:p w14:paraId="59D017AD" w14:textId="77777777" w:rsidR="003C568B" w:rsidRPr="00595E70" w:rsidRDefault="003C568B" w:rsidP="00351398">
      <w:pPr>
        <w:pStyle w:val="Footnote"/>
      </w:pPr>
      <w:r w:rsidRPr="00595E70">
        <w:rPr>
          <w:rStyle w:val="FootnoteReference"/>
        </w:rPr>
        <w:footnoteRef/>
      </w:r>
      <w:r w:rsidRPr="00595E70">
        <w:tab/>
        <w:t>F. G. Jacobs, ‘The Court of Justice in the Twenty-First Century: Challenges Ahead for the judicial System?</w:t>
      </w:r>
      <w:proofErr w:type="gramStart"/>
      <w:r w:rsidRPr="00595E70">
        <w:t>’,</w:t>
      </w:r>
      <w:proofErr w:type="gramEnd"/>
      <w:r w:rsidRPr="00595E70">
        <w:t xml:space="preserve"> in A. Rosas, E. </w:t>
      </w:r>
      <w:proofErr w:type="spellStart"/>
      <w:r w:rsidRPr="00595E70">
        <w:t>Levits</w:t>
      </w:r>
      <w:proofErr w:type="spellEnd"/>
      <w:r w:rsidRPr="00595E70">
        <w:t>, Y. Bot (</w:t>
      </w:r>
      <w:proofErr w:type="spellStart"/>
      <w:r w:rsidRPr="00595E70">
        <w:t>eds</w:t>
      </w:r>
      <w:proofErr w:type="spellEnd"/>
      <w:r w:rsidRPr="00595E70">
        <w:rPr>
          <w:i/>
        </w:rPr>
        <w:t>) The Court of Justice and the Construction of Europe</w:t>
      </w:r>
      <w:r w:rsidRPr="00595E70">
        <w:t xml:space="preserve"> (eBook: Asser Press Springer 2013), 58. See also </w:t>
      </w:r>
      <w:proofErr w:type="spellStart"/>
      <w:r w:rsidRPr="00595E70">
        <w:t>Dehousse</w:t>
      </w:r>
      <w:proofErr w:type="spellEnd"/>
      <w:r w:rsidRPr="00595E70">
        <w:t xml:space="preserve"> n </w:t>
      </w:r>
      <w:r>
        <w:fldChar w:fldCharType="begin"/>
      </w:r>
      <w:r>
        <w:instrText xml:space="preserve"> NOTEREF _Ref384025443 \h  \* MERGEFORMAT </w:instrText>
      </w:r>
      <w:r>
        <w:fldChar w:fldCharType="separate"/>
      </w:r>
      <w:r w:rsidR="00B201F7">
        <w:t>17</w:t>
      </w:r>
      <w:r>
        <w:fldChar w:fldCharType="end"/>
      </w:r>
      <w:r w:rsidRPr="00595E70">
        <w:t xml:space="preserve"> above, 12.</w:t>
      </w:r>
    </w:p>
  </w:footnote>
  <w:footnote w:id="54">
    <w:p w14:paraId="1F293D1D" w14:textId="0E179F50" w:rsidR="003C568B" w:rsidRPr="00595E70" w:rsidRDefault="003C568B" w:rsidP="00351398">
      <w:pPr>
        <w:pStyle w:val="Footnote"/>
      </w:pPr>
      <w:r w:rsidRPr="00595E70">
        <w:rPr>
          <w:rStyle w:val="FootnoteReference"/>
        </w:rPr>
        <w:footnoteRef/>
      </w:r>
      <w:r w:rsidRPr="00595E70">
        <w:tab/>
        <w:t xml:space="preserve">The text of the Treaty (Consolidated version of the Treaty of the European Union) is available at </w:t>
      </w:r>
      <w:hyperlink r:id="rId3" w:history="1">
        <w:r w:rsidRPr="00595E70">
          <w:rPr>
            <w:u w:val="single"/>
          </w:rPr>
          <w:t>http://register.consilium.europa.eu/pdf/en/08/st06/st06655-re07.en08.pdf</w:t>
        </w:r>
      </w:hyperlink>
      <w:r w:rsidRPr="00595E70">
        <w:t xml:space="preserve"> (last </w:t>
      </w:r>
      <w:r>
        <w:t>accessed</w:t>
      </w:r>
      <w:r w:rsidRPr="00595E70">
        <w:t xml:space="preserve"> 28 </w:t>
      </w:r>
      <w:r>
        <w:t>June 2015</w:t>
      </w:r>
      <w:r w:rsidRPr="00595E70">
        <w:t xml:space="preserve">). </w:t>
      </w:r>
    </w:p>
  </w:footnote>
  <w:footnote w:id="55">
    <w:p w14:paraId="0C1A3F48" w14:textId="7CBCD80C" w:rsidR="003C568B" w:rsidRPr="00595E70" w:rsidRDefault="003C568B" w:rsidP="00351398">
      <w:pPr>
        <w:pStyle w:val="Footnote"/>
      </w:pPr>
      <w:r w:rsidRPr="00595E70">
        <w:rPr>
          <w:rStyle w:val="FootnoteReference"/>
        </w:rPr>
        <w:footnoteRef/>
      </w:r>
      <w:r w:rsidRPr="00595E70">
        <w:tab/>
      </w:r>
      <w:proofErr w:type="gramStart"/>
      <w:r w:rsidRPr="00595E70">
        <w:t xml:space="preserve">Available online at </w:t>
      </w:r>
      <w:hyperlink r:id="rId4" w:history="1">
        <w:r w:rsidRPr="00595E70">
          <w:rPr>
            <w:u w:val="single"/>
          </w:rPr>
          <w:t>http://www.richtervereinigung.at/international/eurojus1/eurojus15a.htm</w:t>
        </w:r>
      </w:hyperlink>
      <w:r w:rsidRPr="00595E70">
        <w:t xml:space="preserve"> (last </w:t>
      </w:r>
      <w:r>
        <w:t>accessed</w:t>
      </w:r>
      <w:r w:rsidRPr="00595E70">
        <w:t xml:space="preserve"> 23 October 2013).</w:t>
      </w:r>
      <w:proofErr w:type="gramEnd"/>
    </w:p>
  </w:footnote>
  <w:footnote w:id="56">
    <w:p w14:paraId="65FA540B" w14:textId="77777777" w:rsidR="003C568B" w:rsidRPr="00595E70" w:rsidRDefault="003C568B" w:rsidP="00351398">
      <w:pPr>
        <w:pStyle w:val="Footnote"/>
        <w:rPr>
          <w:lang w:val="fr-FR"/>
        </w:rPr>
      </w:pPr>
      <w:r w:rsidRPr="00595E70">
        <w:rPr>
          <w:rStyle w:val="FootnoteReference"/>
        </w:rPr>
        <w:footnoteRef/>
      </w:r>
      <w:r w:rsidRPr="00595E70">
        <w:rPr>
          <w:lang w:val="fr-FR"/>
        </w:rPr>
        <w:tab/>
      </w:r>
      <w:proofErr w:type="spellStart"/>
      <w:r w:rsidRPr="00595E70">
        <w:rPr>
          <w:lang w:val="fr-FR"/>
        </w:rPr>
        <w:t>See</w:t>
      </w:r>
      <w:proofErr w:type="spellEnd"/>
      <w:r w:rsidRPr="00595E70">
        <w:rPr>
          <w:lang w:val="fr-FR"/>
        </w:rPr>
        <w:t xml:space="preserve"> Rasmussen n </w:t>
      </w:r>
      <w:r>
        <w:fldChar w:fldCharType="begin"/>
      </w:r>
      <w:r>
        <w:instrText xml:space="preserve"> NOTEREF _Ref382492002 \h  \* MERGEFORMAT </w:instrText>
      </w:r>
      <w:r>
        <w:fldChar w:fldCharType="separate"/>
      </w:r>
      <w:r w:rsidR="00B201F7" w:rsidRPr="00B201F7">
        <w:rPr>
          <w:lang w:val="fr-FR"/>
        </w:rPr>
        <w:t>14</w:t>
      </w:r>
      <w:r>
        <w:fldChar w:fldCharType="end"/>
      </w:r>
      <w:r w:rsidRPr="00595E70">
        <w:rPr>
          <w:lang w:val="fr-FR"/>
        </w:rPr>
        <w:t>above, 34.</w:t>
      </w:r>
    </w:p>
  </w:footnote>
  <w:footnote w:id="57">
    <w:p w14:paraId="4F770E40" w14:textId="77777777" w:rsidR="003C568B" w:rsidRPr="00595E70" w:rsidRDefault="003C568B" w:rsidP="00351398">
      <w:pPr>
        <w:pStyle w:val="Footnote"/>
      </w:pPr>
      <w:r w:rsidRPr="00595E70">
        <w:rPr>
          <w:rStyle w:val="FootnoteReference"/>
        </w:rPr>
        <w:footnoteRef/>
      </w:r>
      <w:r w:rsidRPr="00595E70">
        <w:rPr>
          <w:lang w:val="fr-FR"/>
        </w:rPr>
        <w:tab/>
      </w:r>
      <w:proofErr w:type="spellStart"/>
      <w:r w:rsidRPr="00595E70">
        <w:rPr>
          <w:lang w:val="fr-FR"/>
        </w:rPr>
        <w:t>See</w:t>
      </w:r>
      <w:proofErr w:type="spellEnd"/>
      <w:r>
        <w:rPr>
          <w:lang w:val="fr-FR"/>
        </w:rPr>
        <w:t xml:space="preserve"> </w:t>
      </w:r>
      <w:proofErr w:type="spellStart"/>
      <w:r w:rsidRPr="00595E70">
        <w:rPr>
          <w:lang w:val="fr-FR"/>
        </w:rPr>
        <w:t>generally</w:t>
      </w:r>
      <w:proofErr w:type="spellEnd"/>
      <w:r w:rsidRPr="00595E70">
        <w:rPr>
          <w:lang w:val="fr-FR"/>
        </w:rPr>
        <w:t xml:space="preserve"> Nicole </w:t>
      </w:r>
      <w:proofErr w:type="spellStart"/>
      <w:r w:rsidRPr="00595E70">
        <w:rPr>
          <w:lang w:val="fr-FR"/>
        </w:rPr>
        <w:t>Condorelli</w:t>
      </w:r>
      <w:proofErr w:type="spellEnd"/>
      <w:r w:rsidRPr="00595E70">
        <w:rPr>
          <w:lang w:val="fr-FR"/>
        </w:rPr>
        <w:t xml:space="preserve"> Braun, </w:t>
      </w:r>
      <w:r w:rsidRPr="00595E70">
        <w:rPr>
          <w:i/>
          <w:lang w:val="fr-FR"/>
        </w:rPr>
        <w:t xml:space="preserve">Commissaires et juges dans le </w:t>
      </w:r>
      <w:proofErr w:type="spellStart"/>
      <w:r w:rsidRPr="00595E70">
        <w:rPr>
          <w:i/>
          <w:lang w:val="fr-FR"/>
        </w:rPr>
        <w:t>communeautés</w:t>
      </w:r>
      <w:proofErr w:type="spellEnd"/>
      <w:r w:rsidRPr="00595E70">
        <w:rPr>
          <w:i/>
          <w:lang w:val="fr-FR"/>
        </w:rPr>
        <w:t xml:space="preserve"> européennes</w:t>
      </w:r>
      <w:r w:rsidRPr="00595E70">
        <w:rPr>
          <w:lang w:val="fr-FR"/>
        </w:rPr>
        <w:t xml:space="preserve"> (Paris: Pichon et Durand-</w:t>
      </w:r>
      <w:proofErr w:type="spellStart"/>
      <w:r w:rsidRPr="00595E70">
        <w:rPr>
          <w:lang w:val="fr-FR"/>
        </w:rPr>
        <w:t>Auzias</w:t>
      </w:r>
      <w:proofErr w:type="spellEnd"/>
      <w:r w:rsidRPr="00595E70">
        <w:rPr>
          <w:lang w:val="fr-FR"/>
        </w:rPr>
        <w:t xml:space="preserve"> 1972). </w:t>
      </w:r>
      <w:r w:rsidRPr="00595E70">
        <w:t xml:space="preserve">This finding was confirmed by later research. See </w:t>
      </w:r>
      <w:proofErr w:type="spellStart"/>
      <w:r w:rsidRPr="00595E70">
        <w:t>Dehousse</w:t>
      </w:r>
      <w:proofErr w:type="spellEnd"/>
      <w:r w:rsidRPr="00595E70">
        <w:t xml:space="preserve"> n </w:t>
      </w:r>
      <w:r>
        <w:fldChar w:fldCharType="begin"/>
      </w:r>
      <w:r>
        <w:instrText xml:space="preserve"> NOTEREF _Ref384025443 \h  \* MERGEFORMAT </w:instrText>
      </w:r>
      <w:r>
        <w:fldChar w:fldCharType="separate"/>
      </w:r>
      <w:r w:rsidR="00B201F7">
        <w:t>17</w:t>
      </w:r>
      <w:r>
        <w:fldChar w:fldCharType="end"/>
      </w:r>
      <w:r w:rsidRPr="00595E70">
        <w:t xml:space="preserve"> above, 12. </w:t>
      </w:r>
    </w:p>
  </w:footnote>
  <w:footnote w:id="58">
    <w:p w14:paraId="256A8871" w14:textId="77777777" w:rsidR="003C568B" w:rsidRPr="00595E70" w:rsidRDefault="003C568B" w:rsidP="00351398">
      <w:pPr>
        <w:pStyle w:val="Footnote"/>
      </w:pPr>
      <w:r w:rsidRPr="00595E70">
        <w:rPr>
          <w:rStyle w:val="FootnoteReference"/>
        </w:rPr>
        <w:footnoteRef/>
      </w:r>
      <w:r w:rsidRPr="00595E70">
        <w:tab/>
        <w:t xml:space="preserve">This was </w:t>
      </w:r>
      <w:proofErr w:type="spellStart"/>
      <w:r w:rsidRPr="00595E70">
        <w:t>Fidelma</w:t>
      </w:r>
      <w:proofErr w:type="spellEnd"/>
      <w:r w:rsidRPr="00595E70">
        <w:t xml:space="preserve"> O’ Kelly </w:t>
      </w:r>
      <w:proofErr w:type="spellStart"/>
      <w:r w:rsidRPr="00595E70">
        <w:t>Macken</w:t>
      </w:r>
      <w:proofErr w:type="spellEnd"/>
      <w:r w:rsidRPr="00595E70">
        <w:t xml:space="preserve">, </w:t>
      </w:r>
      <w:proofErr w:type="spellStart"/>
      <w:r w:rsidRPr="00595E70">
        <w:t>althought</w:t>
      </w:r>
      <w:proofErr w:type="spellEnd"/>
      <w:r w:rsidRPr="00595E70">
        <w:t xml:space="preserve"> Simone </w:t>
      </w:r>
      <w:proofErr w:type="spellStart"/>
      <w:r w:rsidRPr="00595E70">
        <w:t>Rozès</w:t>
      </w:r>
      <w:proofErr w:type="spellEnd"/>
      <w:r w:rsidRPr="00595E70">
        <w:t xml:space="preserve"> had already been appointed as Advocate General in 1981. </w:t>
      </w:r>
      <w:r>
        <w:t>See D</w:t>
      </w:r>
      <w:r w:rsidRPr="00BA599B">
        <w:t xml:space="preserve">. Tamm,' The History of the court of Justice of the European Union since its Origin', in A. Rosas, </w:t>
      </w:r>
      <w:proofErr w:type="spellStart"/>
      <w:r w:rsidRPr="00BA599B">
        <w:t>Levits</w:t>
      </w:r>
      <w:proofErr w:type="spellEnd"/>
      <w:r w:rsidRPr="00BA599B">
        <w:t>, E. Bot (</w:t>
      </w:r>
      <w:proofErr w:type="spellStart"/>
      <w:r w:rsidRPr="00BA599B">
        <w:t>eds</w:t>
      </w:r>
      <w:proofErr w:type="spellEnd"/>
      <w:r w:rsidRPr="00BA599B">
        <w:t>) The Court of Justice and the Construction of Europe (eBook: Asser Press Springer 2013)</w:t>
      </w:r>
      <w:r w:rsidRPr="003B2D9A">
        <w:fldChar w:fldCharType="begin"/>
      </w:r>
      <w:r w:rsidRPr="003B2D9A">
        <w:instrText xml:space="preserve"> REF _RefF27 \h  \* MERGEFORMAT </w:instrText>
      </w:r>
      <w:r w:rsidR="00B201F7">
        <w:fldChar w:fldCharType="separate"/>
      </w:r>
      <w:r w:rsidR="00B201F7">
        <w:rPr>
          <w:b/>
        </w:rPr>
        <w:t>Error! Reference source not found.</w:t>
      </w:r>
      <w:r w:rsidRPr="003B2D9A">
        <w:fldChar w:fldCharType="end"/>
      </w:r>
      <w:r w:rsidRPr="00595E70">
        <w:t>, 20.</w:t>
      </w:r>
    </w:p>
  </w:footnote>
  <w:footnote w:id="59">
    <w:p w14:paraId="2F38D2AE" w14:textId="7BCEEC20" w:rsidR="003C568B" w:rsidRPr="00595E70" w:rsidRDefault="003C568B" w:rsidP="00DE69A1">
      <w:pPr>
        <w:pStyle w:val="Footnote"/>
      </w:pPr>
      <w:r w:rsidRPr="00595E70">
        <w:rPr>
          <w:rStyle w:val="FootnoteReference"/>
        </w:rPr>
        <w:footnoteRef/>
      </w:r>
      <w:r>
        <w:tab/>
        <w:t>The European</w:t>
      </w:r>
      <w:r w:rsidRPr="00595E70">
        <w:t xml:space="preserve"> Parliament proposal to extend the mandate of the judges to 10 years, not renewable, was rejected. Some commentators suggest that this is a clear sign that Member States do not intend to renounce their power of pressure on the Members of the Court. See </w:t>
      </w:r>
      <w:proofErr w:type="spellStart"/>
      <w:r w:rsidRPr="00595E70">
        <w:t>Dehousse</w:t>
      </w:r>
      <w:proofErr w:type="spellEnd"/>
      <w:r w:rsidRPr="00595E70">
        <w:t xml:space="preserve"> n </w:t>
      </w:r>
      <w:r>
        <w:fldChar w:fldCharType="begin"/>
      </w:r>
      <w:r>
        <w:instrText xml:space="preserve"> NOTEREF _Ref384025443 \h  \* MERGEFORMAT </w:instrText>
      </w:r>
      <w:r>
        <w:fldChar w:fldCharType="separate"/>
      </w:r>
      <w:r w:rsidR="00B201F7">
        <w:t>17</w:t>
      </w:r>
      <w:r>
        <w:fldChar w:fldCharType="end"/>
      </w:r>
      <w:r>
        <w:t xml:space="preserve"> above, 18; </w:t>
      </w:r>
      <w:proofErr w:type="spellStart"/>
      <w:r>
        <w:t>Weiler</w:t>
      </w:r>
      <w:proofErr w:type="spellEnd"/>
      <w:r w:rsidRPr="00595E70">
        <w:t xml:space="preserve"> n </w:t>
      </w:r>
      <w:r>
        <w:fldChar w:fldCharType="begin"/>
      </w:r>
      <w:r>
        <w:instrText xml:space="preserve"> NOTEREF _Ref384042195 \h  \* MERGEFORMAT </w:instrText>
      </w:r>
      <w:r>
        <w:fldChar w:fldCharType="separate"/>
      </w:r>
      <w:r w:rsidR="00B201F7">
        <w:t>29</w:t>
      </w:r>
      <w:r>
        <w:fldChar w:fldCharType="end"/>
      </w:r>
      <w:r w:rsidRPr="00595E70">
        <w:fldChar w:fldCharType="begin"/>
      </w:r>
      <w:r w:rsidRPr="00595E70">
        <w:instrText xml:space="preserve"> REF _RefF12 \h  \* MERGEFORMAT </w:instrText>
      </w:r>
      <w:r w:rsidRPr="00595E70">
        <w:fldChar w:fldCharType="end"/>
      </w:r>
      <w:r w:rsidRPr="00595E70">
        <w:t xml:space="preserve"> </w:t>
      </w:r>
      <w:r>
        <w:t xml:space="preserve">above </w:t>
      </w:r>
      <w:r w:rsidRPr="00595E70">
        <w:t xml:space="preserve">at 225; and </w:t>
      </w:r>
      <w:proofErr w:type="spellStart"/>
      <w:r w:rsidRPr="00595E70">
        <w:t>Arnull</w:t>
      </w:r>
      <w:proofErr w:type="spellEnd"/>
      <w:r w:rsidRPr="00595E70">
        <w:t xml:space="preserve"> n </w:t>
      </w:r>
      <w:r>
        <w:fldChar w:fldCharType="begin"/>
      </w:r>
      <w:r>
        <w:instrText xml:space="preserve"> NOTEREF _Ref384040699 \h  \* MERGEFORMAT </w:instrText>
      </w:r>
      <w:r>
        <w:fldChar w:fldCharType="separate"/>
      </w:r>
      <w:r w:rsidR="00B201F7">
        <w:t>32</w:t>
      </w:r>
      <w:r>
        <w:fldChar w:fldCharType="end"/>
      </w:r>
      <w:r>
        <w:t xml:space="preserve"> above</w:t>
      </w:r>
      <w:r w:rsidRPr="00595E70">
        <w:t>, at 22.</w:t>
      </w:r>
    </w:p>
  </w:footnote>
  <w:footnote w:id="60">
    <w:p w14:paraId="5A510AF7" w14:textId="0B7FC2F4" w:rsidR="003C568B" w:rsidRPr="00595E70" w:rsidRDefault="003C568B" w:rsidP="00351398">
      <w:pPr>
        <w:pStyle w:val="Footnote"/>
      </w:pPr>
      <w:r w:rsidRPr="00595E70">
        <w:rPr>
          <w:rStyle w:val="FootnoteReference"/>
        </w:rPr>
        <w:footnoteRef/>
      </w:r>
      <w:r w:rsidRPr="00595E70">
        <w:tab/>
      </w:r>
      <w:proofErr w:type="spellStart"/>
      <w:proofErr w:type="gramStart"/>
      <w:r w:rsidRPr="00595E70">
        <w:t>Dehousse</w:t>
      </w:r>
      <w:proofErr w:type="spellEnd"/>
      <w:r w:rsidRPr="00595E70">
        <w:t xml:space="preserve"> n </w:t>
      </w:r>
      <w:r>
        <w:fldChar w:fldCharType="begin"/>
      </w:r>
      <w:r>
        <w:instrText xml:space="preserve"> NOTEREF _Ref384025443 \h  \* MERGEFORMAT </w:instrText>
      </w:r>
      <w:r>
        <w:fldChar w:fldCharType="separate"/>
      </w:r>
      <w:r w:rsidR="00B201F7">
        <w:t>17</w:t>
      </w:r>
      <w:r>
        <w:fldChar w:fldCharType="end"/>
      </w:r>
      <w:r w:rsidRPr="00595E70">
        <w:t xml:space="preserve"> above, 15.</w:t>
      </w:r>
      <w:proofErr w:type="gramEnd"/>
      <w:r w:rsidRPr="00595E70">
        <w:t xml:space="preserve"> Minority opinions in fact are not published in </w:t>
      </w:r>
      <w:r>
        <w:t>judgment</w:t>
      </w:r>
      <w:r w:rsidRPr="00595E70">
        <w:t xml:space="preserve">s, in order to preserve the independence of the judge, especially vis-à-vis the member state that has appointed them. </w:t>
      </w:r>
      <w:proofErr w:type="spellStart"/>
      <w:proofErr w:type="gramStart"/>
      <w:r w:rsidRPr="00595E70">
        <w:t>Arnull</w:t>
      </w:r>
      <w:proofErr w:type="spellEnd"/>
      <w:r w:rsidRPr="00595E70">
        <w:t xml:space="preserve"> 2006 n </w:t>
      </w:r>
      <w:r>
        <w:fldChar w:fldCharType="begin"/>
      </w:r>
      <w:r>
        <w:instrText xml:space="preserve"> NOTEREF _Ref384040699 \h </w:instrText>
      </w:r>
      <w:r>
        <w:fldChar w:fldCharType="separate"/>
      </w:r>
      <w:r w:rsidR="00B201F7">
        <w:t>32</w:t>
      </w:r>
      <w:r>
        <w:fldChar w:fldCharType="end"/>
      </w:r>
      <w:r>
        <w:t xml:space="preserve"> </w:t>
      </w:r>
      <w:r w:rsidRPr="00595E70">
        <w:t>above, 11.</w:t>
      </w:r>
      <w:proofErr w:type="gramEnd"/>
    </w:p>
  </w:footnote>
  <w:footnote w:id="61">
    <w:p w14:paraId="1656151F" w14:textId="77777777" w:rsidR="003C568B" w:rsidRPr="00595E70" w:rsidRDefault="003C568B" w:rsidP="00351398">
      <w:pPr>
        <w:pStyle w:val="Footnote"/>
      </w:pPr>
      <w:r w:rsidRPr="00595E70">
        <w:rPr>
          <w:rStyle w:val="FootnoteReference"/>
        </w:rPr>
        <w:footnoteRef/>
      </w:r>
      <w:r w:rsidRPr="00595E70">
        <w:tab/>
      </w:r>
      <w:proofErr w:type="gramStart"/>
      <w:r w:rsidRPr="00595E70">
        <w:t xml:space="preserve">Text of the Treaty (consolidated) at </w:t>
      </w:r>
      <w:hyperlink r:id="rId5" w:history="1">
        <w:r w:rsidRPr="00595E70">
          <w:rPr>
            <w:u w:val="single"/>
          </w:rPr>
          <w:t>http://register.consilium.europa.eu/pdf/en/08/st06/st06655-re07.en08.pdf</w:t>
        </w:r>
      </w:hyperlink>
      <w:r w:rsidRPr="00595E70">
        <w:t>.</w:t>
      </w:r>
      <w:proofErr w:type="gramEnd"/>
    </w:p>
  </w:footnote>
  <w:footnote w:id="62">
    <w:p w14:paraId="7F7515E8" w14:textId="77777777" w:rsidR="003C568B" w:rsidRPr="00595E70" w:rsidRDefault="003C568B" w:rsidP="00351398">
      <w:pPr>
        <w:pStyle w:val="Footnote"/>
      </w:pPr>
      <w:r w:rsidRPr="00595E70">
        <w:rPr>
          <w:rStyle w:val="FootnoteReference"/>
        </w:rPr>
        <w:footnoteRef/>
      </w:r>
      <w:r w:rsidRPr="00595E70">
        <w:tab/>
        <w:t>The committee is referred in practice as ‘</w:t>
      </w:r>
      <w:r w:rsidRPr="00595E70">
        <w:rPr>
          <w:i/>
        </w:rPr>
        <w:t xml:space="preserve">le </w:t>
      </w:r>
      <w:proofErr w:type="spellStart"/>
      <w:r w:rsidRPr="00595E70">
        <w:rPr>
          <w:i/>
        </w:rPr>
        <w:t>comité</w:t>
      </w:r>
      <w:proofErr w:type="spellEnd"/>
      <w:r w:rsidRPr="00595E70">
        <w:rPr>
          <w:i/>
        </w:rPr>
        <w:t xml:space="preserve"> 255</w:t>
      </w:r>
      <w:r w:rsidRPr="00595E70">
        <w:t xml:space="preserve">’. See generally J.M. Sauvé, ‘Le role du </w:t>
      </w:r>
      <w:proofErr w:type="spellStart"/>
      <w:r w:rsidRPr="00595E70">
        <w:t>comité</w:t>
      </w:r>
      <w:proofErr w:type="spellEnd"/>
      <w:r w:rsidRPr="00595E70">
        <w:t xml:space="preserve"> 255 </w:t>
      </w:r>
      <w:proofErr w:type="spellStart"/>
      <w:r w:rsidRPr="00595E70">
        <w:t>dans</w:t>
      </w:r>
      <w:proofErr w:type="spellEnd"/>
      <w:r w:rsidRPr="00595E70">
        <w:t xml:space="preserve"> la </w:t>
      </w:r>
      <w:proofErr w:type="spellStart"/>
      <w:r w:rsidRPr="00595E70">
        <w:t>sélection</w:t>
      </w:r>
      <w:proofErr w:type="spellEnd"/>
      <w:r w:rsidRPr="00595E70">
        <w:t xml:space="preserve"> du </w:t>
      </w:r>
      <w:proofErr w:type="spellStart"/>
      <w:r w:rsidRPr="00595E70">
        <w:t>Juge</w:t>
      </w:r>
      <w:proofErr w:type="spellEnd"/>
      <w:r w:rsidRPr="00595E70">
        <w:t xml:space="preserve"> de </w:t>
      </w:r>
      <w:proofErr w:type="spellStart"/>
      <w:r w:rsidRPr="00595E70">
        <w:t>l’Union</w:t>
      </w:r>
      <w:proofErr w:type="spellEnd"/>
      <w:r w:rsidRPr="00595E70">
        <w:t xml:space="preserve">’, in Rosas, A. </w:t>
      </w:r>
      <w:proofErr w:type="spellStart"/>
      <w:r w:rsidRPr="00595E70">
        <w:t>Levits</w:t>
      </w:r>
      <w:proofErr w:type="spellEnd"/>
      <w:r w:rsidRPr="00595E70">
        <w:t>, E. Bot (</w:t>
      </w:r>
      <w:proofErr w:type="spellStart"/>
      <w:r w:rsidRPr="00595E70">
        <w:t>eds</w:t>
      </w:r>
      <w:proofErr w:type="spellEnd"/>
      <w:r w:rsidRPr="00595E70">
        <w:t xml:space="preserve">) The Court of Justice and the Construction of Europe (eBook: Asser Press Springer 2013). </w:t>
      </w:r>
    </w:p>
  </w:footnote>
  <w:footnote w:id="63">
    <w:p w14:paraId="49D668B5" w14:textId="04C2A0CD" w:rsidR="003C568B" w:rsidRPr="00595E70" w:rsidRDefault="003C568B" w:rsidP="00351398">
      <w:pPr>
        <w:pStyle w:val="Footnote"/>
      </w:pPr>
      <w:r w:rsidRPr="00595E70">
        <w:rPr>
          <w:rStyle w:val="FootnoteReference"/>
        </w:rPr>
        <w:footnoteRef/>
      </w:r>
      <w:r>
        <w:tab/>
        <w:t>The committee has been</w:t>
      </w:r>
      <w:r w:rsidRPr="00595E70">
        <w:t xml:space="preserve"> active since the year 2</w:t>
      </w:r>
      <w:r>
        <w:t>010</w:t>
      </w:r>
      <w:r w:rsidRPr="00595E70">
        <w:t>.</w:t>
      </w:r>
    </w:p>
  </w:footnote>
  <w:footnote w:id="64">
    <w:p w14:paraId="417BB24F" w14:textId="7F4D8732" w:rsidR="003C568B" w:rsidRPr="00595E70" w:rsidRDefault="003C568B" w:rsidP="00351398">
      <w:pPr>
        <w:pStyle w:val="Footnote"/>
      </w:pPr>
      <w:r w:rsidRPr="00595E70">
        <w:rPr>
          <w:rStyle w:val="FootnoteReference"/>
        </w:rPr>
        <w:footnoteRef/>
      </w:r>
      <w:r w:rsidRPr="00595E70">
        <w:tab/>
      </w:r>
      <w:proofErr w:type="spellStart"/>
      <w:r w:rsidRPr="00595E70">
        <w:t>Arnull</w:t>
      </w:r>
      <w:proofErr w:type="spellEnd"/>
      <w:r w:rsidRPr="00595E70">
        <w:t xml:space="preserve"> for example suggests that the ‘committee 255’ could choose from a list of three candidates, as it is currently done for the appointment of ECHR judges. See </w:t>
      </w:r>
      <w:proofErr w:type="spellStart"/>
      <w:r w:rsidRPr="00595E70">
        <w:t>Arnull</w:t>
      </w:r>
      <w:proofErr w:type="spellEnd"/>
      <w:r w:rsidRPr="00595E70">
        <w:t xml:space="preserve"> n </w:t>
      </w:r>
      <w:r>
        <w:fldChar w:fldCharType="begin"/>
      </w:r>
      <w:r>
        <w:instrText xml:space="preserve"> NOTEREF _Ref384040699 \h  \* MERGEFORMAT </w:instrText>
      </w:r>
      <w:r>
        <w:fldChar w:fldCharType="separate"/>
      </w:r>
      <w:r w:rsidR="00B201F7">
        <w:t>32</w:t>
      </w:r>
      <w:r>
        <w:fldChar w:fldCharType="end"/>
      </w:r>
      <w:r w:rsidRPr="00595E70">
        <w:t xml:space="preserve"> above at 25. In fact, many of the problems that have been identified regarding the appointment process of judges at the ECHR are applicable to ECJ judges as well. See </w:t>
      </w:r>
      <w:proofErr w:type="spellStart"/>
      <w:r w:rsidRPr="00595E70">
        <w:t>Interight</w:t>
      </w:r>
      <w:proofErr w:type="spellEnd"/>
      <w:r w:rsidRPr="00595E70">
        <w:t xml:space="preserve"> Report ‘Judicial Independence: Law and Practice of appointments to the ECHR</w:t>
      </w:r>
      <w:r>
        <w:t>’</w:t>
      </w:r>
      <w:r w:rsidRPr="00595E70">
        <w:t>, available at http://www.interights.org/jud-ind-en/index.html (las</w:t>
      </w:r>
      <w:r>
        <w:t>t accessed 6 March 2015</w:t>
      </w:r>
      <w:r w:rsidRPr="00595E70">
        <w:t>).</w:t>
      </w:r>
    </w:p>
  </w:footnote>
  <w:footnote w:id="65">
    <w:p w14:paraId="41745046" w14:textId="0C8D1AEF" w:rsidR="003C568B" w:rsidRPr="00AB5B6A" w:rsidRDefault="003C568B" w:rsidP="00351398">
      <w:pPr>
        <w:pStyle w:val="Footnote"/>
      </w:pPr>
      <w:r w:rsidRPr="00595E70">
        <w:rPr>
          <w:rStyle w:val="FootnoteReference"/>
        </w:rPr>
        <w:footnoteRef/>
      </w:r>
      <w:r w:rsidRPr="00AB5B6A">
        <w:tab/>
      </w:r>
      <w:r w:rsidRPr="00595E70">
        <w:t xml:space="preserve">Nicole </w:t>
      </w:r>
      <w:proofErr w:type="spellStart"/>
      <w:r w:rsidRPr="00595E70">
        <w:t>Condorelli</w:t>
      </w:r>
      <w:proofErr w:type="spellEnd"/>
      <w:r w:rsidRPr="00595E70">
        <w:t xml:space="preserve"> Braun carried out one of the first analyses of the background of the members of the Court from its establishment until the beginning of 1970. She explored </w:t>
      </w:r>
      <w:r>
        <w:t>in detail the biography of the (then)</w:t>
      </w:r>
      <w:r w:rsidRPr="00595E70">
        <w:t xml:space="preserve"> few judges of the European Court and reported anecdotal evidence of their political connections as well as their recruitment</w:t>
      </w:r>
      <w:r>
        <w:t xml:space="preserve">. </w:t>
      </w:r>
      <w:proofErr w:type="spellStart"/>
      <w:r w:rsidRPr="00AB5B6A">
        <w:t>Condorelli</w:t>
      </w:r>
      <w:proofErr w:type="spellEnd"/>
      <w:r w:rsidRPr="00AB5B6A">
        <w:t xml:space="preserve"> Braun n </w:t>
      </w:r>
      <w:r>
        <w:fldChar w:fldCharType="begin"/>
      </w:r>
      <w:r>
        <w:instrText xml:space="preserve"> NOTEREF _Ref384042681 \h  \* MERGEFORMAT </w:instrText>
      </w:r>
      <w:r>
        <w:fldChar w:fldCharType="separate"/>
      </w:r>
      <w:r w:rsidR="00B201F7">
        <w:t>56</w:t>
      </w:r>
      <w:r>
        <w:fldChar w:fldCharType="end"/>
      </w:r>
      <w:r w:rsidRPr="00AB5B6A">
        <w:t xml:space="preserve"> above.</w:t>
      </w:r>
    </w:p>
  </w:footnote>
  <w:footnote w:id="66">
    <w:p w14:paraId="26386386" w14:textId="63410A1F" w:rsidR="003C568B" w:rsidRPr="00595E70" w:rsidRDefault="003C568B" w:rsidP="00351398">
      <w:pPr>
        <w:pStyle w:val="Footnote"/>
      </w:pPr>
      <w:r w:rsidRPr="00595E70">
        <w:rPr>
          <w:rStyle w:val="FootnoteReference"/>
        </w:rPr>
        <w:footnoteRef/>
      </w:r>
      <w:r w:rsidRPr="00595E70">
        <w:rPr>
          <w:lang w:val="fr-FR"/>
        </w:rPr>
        <w:tab/>
        <w:t xml:space="preserve">A. Cohen, ‘Sous la robe du juge: le recrutement social de la Cour’, in Pascal </w:t>
      </w:r>
      <w:proofErr w:type="spellStart"/>
      <w:r w:rsidRPr="00595E70">
        <w:rPr>
          <w:lang w:val="fr-FR"/>
        </w:rPr>
        <w:t>Mbongo</w:t>
      </w:r>
      <w:proofErr w:type="spellEnd"/>
      <w:r w:rsidRPr="00595E70">
        <w:rPr>
          <w:lang w:val="fr-FR"/>
        </w:rPr>
        <w:t xml:space="preserve"> and Antoine Vauchez (</w:t>
      </w:r>
      <w:proofErr w:type="spellStart"/>
      <w:r w:rsidRPr="00595E70">
        <w:rPr>
          <w:lang w:val="fr-FR"/>
        </w:rPr>
        <w:t>eds</w:t>
      </w:r>
      <w:proofErr w:type="spellEnd"/>
      <w:r w:rsidRPr="00595E70">
        <w:rPr>
          <w:lang w:val="fr-FR"/>
        </w:rPr>
        <w:t xml:space="preserve">) </w:t>
      </w:r>
      <w:r w:rsidRPr="00595E70">
        <w:rPr>
          <w:i/>
          <w:lang w:val="fr-FR"/>
        </w:rPr>
        <w:t xml:space="preserve">Dans la fabrique du droit européen. Scènes, acteurs et publics de la Cour de justice des </w:t>
      </w:r>
      <w:proofErr w:type="spellStart"/>
      <w:r w:rsidRPr="00595E70">
        <w:rPr>
          <w:i/>
          <w:lang w:val="fr-FR"/>
        </w:rPr>
        <w:t>Communeautés</w:t>
      </w:r>
      <w:proofErr w:type="spellEnd"/>
      <w:r w:rsidRPr="00595E70">
        <w:rPr>
          <w:i/>
          <w:lang w:val="fr-FR"/>
        </w:rPr>
        <w:t xml:space="preserve"> européennes </w:t>
      </w:r>
      <w:r w:rsidRPr="00595E70">
        <w:rPr>
          <w:lang w:val="fr-FR"/>
        </w:rPr>
        <w:t>(</w:t>
      </w:r>
      <w:proofErr w:type="spellStart"/>
      <w:r w:rsidRPr="00595E70">
        <w:rPr>
          <w:lang w:val="fr-FR"/>
        </w:rPr>
        <w:t>Bruylant</w:t>
      </w:r>
      <w:proofErr w:type="spellEnd"/>
      <w:r w:rsidRPr="00595E70">
        <w:rPr>
          <w:lang w:val="fr-FR"/>
        </w:rPr>
        <w:t xml:space="preserve"> 2009). </w:t>
      </w:r>
      <w:r w:rsidRPr="00595E70">
        <w:rPr>
          <w:i/>
        </w:rPr>
        <w:t>S</w:t>
      </w:r>
      <w:r w:rsidRPr="00595E70">
        <w:t>ee also Antonin Cohen, ‘The Legal Community: Judges, Lawyers, Officials and Clerks in the Writing of Europe’, European University Institute Working Papers, at http://cadmus.eui.eu/handle/</w:t>
      </w:r>
      <w:r>
        <w:t>1814/10029 (last accessed 6 March 20</w:t>
      </w:r>
      <w:r w:rsidRPr="00595E70">
        <w:t>15).</w:t>
      </w:r>
    </w:p>
  </w:footnote>
  <w:footnote w:id="67">
    <w:p w14:paraId="5C4EDA34" w14:textId="77777777" w:rsidR="003C568B" w:rsidRPr="00595E70" w:rsidRDefault="003C568B" w:rsidP="00351398">
      <w:pPr>
        <w:pStyle w:val="Footnote"/>
      </w:pPr>
      <w:r w:rsidRPr="00595E70">
        <w:rPr>
          <w:rStyle w:val="FootnoteReference"/>
        </w:rPr>
        <w:footnoteRef/>
      </w:r>
      <w:r w:rsidRPr="00595E70">
        <w:tab/>
        <w:t xml:space="preserve">See generally S. Kenney, ‘The members of the Court of Justice of the European Communities’, (1998) 5 </w:t>
      </w:r>
      <w:r w:rsidRPr="00595E70">
        <w:rPr>
          <w:i/>
        </w:rPr>
        <w:t>Columbia Journal of European Law</w:t>
      </w:r>
      <w:r w:rsidRPr="00595E70">
        <w:t xml:space="preserve"> 101-133</w:t>
      </w:r>
    </w:p>
  </w:footnote>
  <w:footnote w:id="68">
    <w:p w14:paraId="5815E484" w14:textId="77777777" w:rsidR="003C568B" w:rsidRPr="00595E70" w:rsidRDefault="003C568B" w:rsidP="00351398">
      <w:pPr>
        <w:pStyle w:val="Footnote"/>
      </w:pPr>
      <w:r w:rsidRPr="00595E70">
        <w:rPr>
          <w:rStyle w:val="FootnoteReference"/>
        </w:rPr>
        <w:footnoteRef/>
      </w:r>
      <w:r w:rsidRPr="00595E70">
        <w:tab/>
      </w:r>
      <w:proofErr w:type="gramStart"/>
      <w:r w:rsidRPr="00595E70">
        <w:rPr>
          <w:i/>
        </w:rPr>
        <w:t>ibid</w:t>
      </w:r>
      <w:r w:rsidRPr="00595E70">
        <w:t>, 107.</w:t>
      </w:r>
      <w:proofErr w:type="gramEnd"/>
    </w:p>
  </w:footnote>
  <w:footnote w:id="69">
    <w:p w14:paraId="5AEC7DCF" w14:textId="77777777" w:rsidR="003C568B" w:rsidRPr="00595E70" w:rsidRDefault="003C568B" w:rsidP="00351398">
      <w:pPr>
        <w:pStyle w:val="Footnote"/>
      </w:pPr>
      <w:r w:rsidRPr="00595E70">
        <w:rPr>
          <w:rStyle w:val="FootnoteReference"/>
        </w:rPr>
        <w:footnoteRef/>
      </w:r>
      <w:r w:rsidRPr="00595E70">
        <w:tab/>
        <w:t>See below, in the same section.</w:t>
      </w:r>
    </w:p>
  </w:footnote>
  <w:footnote w:id="70">
    <w:p w14:paraId="3DA35095" w14:textId="77777777" w:rsidR="003C568B" w:rsidRPr="00595E70" w:rsidRDefault="003C568B" w:rsidP="00351398">
      <w:pPr>
        <w:pStyle w:val="Footnote"/>
      </w:pPr>
      <w:r w:rsidRPr="00595E70">
        <w:rPr>
          <w:rStyle w:val="FootnoteReference"/>
        </w:rPr>
        <w:footnoteRef/>
      </w:r>
      <w:r w:rsidRPr="00595E70">
        <w:tab/>
        <w:t xml:space="preserve">Previous literature did not analyse separately the skills of the members. However, the comparison with their findings relating to the main career of each member reveals by and large the same proportions among the Court’s main profiles (academics, judges and administrators). See Cohen n </w:t>
      </w:r>
      <w:r>
        <w:fldChar w:fldCharType="begin"/>
      </w:r>
      <w:r>
        <w:instrText xml:space="preserve"> NOTEREF _Ref384043126 \h  \* MERGEFORMAT </w:instrText>
      </w:r>
      <w:r>
        <w:fldChar w:fldCharType="separate"/>
      </w:r>
      <w:r w:rsidR="00B201F7">
        <w:t>65</w:t>
      </w:r>
      <w:r>
        <w:fldChar w:fldCharType="end"/>
      </w:r>
      <w:r w:rsidRPr="00595E70">
        <w:t xml:space="preserve"> above, 22-23 and Kelley n </w:t>
      </w:r>
      <w:r>
        <w:fldChar w:fldCharType="begin"/>
      </w:r>
      <w:r>
        <w:instrText xml:space="preserve"> NOTEREF _Ref384043668 \h  \* MERGEFORMAT </w:instrText>
      </w:r>
      <w:r>
        <w:fldChar w:fldCharType="separate"/>
      </w:r>
      <w:r w:rsidR="00B201F7">
        <w:t>66</w:t>
      </w:r>
      <w:r>
        <w:fldChar w:fldCharType="end"/>
      </w:r>
      <w:r w:rsidRPr="00595E70">
        <w:t xml:space="preserve"> above, 107.</w:t>
      </w:r>
    </w:p>
  </w:footnote>
  <w:footnote w:id="71">
    <w:p w14:paraId="3D572A90" w14:textId="77777777" w:rsidR="003C568B" w:rsidRPr="00595E70" w:rsidRDefault="003C568B" w:rsidP="00351398">
      <w:pPr>
        <w:pStyle w:val="Footnote"/>
      </w:pPr>
      <w:r w:rsidRPr="00595E70">
        <w:rPr>
          <w:rStyle w:val="FootnoteReference"/>
        </w:rPr>
        <w:footnoteRef/>
      </w:r>
      <w:r>
        <w:tab/>
      </w:r>
      <w:r w:rsidRPr="00595E70">
        <w:t>In addition to an expertise in Law and Economics, indicated in the previous paragraph, the data revealed the presence of an economic component in the examined curricula, in the form of other academic qualifications or professional experiences.</w:t>
      </w:r>
    </w:p>
  </w:footnote>
  <w:footnote w:id="72">
    <w:p w14:paraId="5408A643" w14:textId="77777777" w:rsidR="003C568B" w:rsidRPr="00595E70" w:rsidRDefault="003C568B" w:rsidP="00351398">
      <w:pPr>
        <w:pStyle w:val="Footnote"/>
      </w:pPr>
      <w:r w:rsidRPr="00595E70">
        <w:rPr>
          <w:rStyle w:val="FootnoteReference"/>
        </w:rPr>
        <w:footnoteRef/>
      </w:r>
      <w:r>
        <w:tab/>
      </w:r>
      <w:r w:rsidRPr="00595E70">
        <w:t>Data on the background of the Court Members was mainly sourced on the website of the Court (</w:t>
      </w:r>
      <w:hyperlink r:id="rId6" w:history="1">
        <w:r w:rsidRPr="00595E70">
          <w:rPr>
            <w:rStyle w:val="Hyperlink"/>
            <w:color w:val="auto"/>
          </w:rPr>
          <w:t>http://curia.europa.eu/jcms/jcms/Jo2_7026/</w:t>
        </w:r>
      </w:hyperlink>
      <w:r w:rsidRPr="00595E70">
        <w:t xml:space="preserve">), with the addition of </w:t>
      </w:r>
      <w:proofErr w:type="gramStart"/>
      <w:r w:rsidRPr="00595E70">
        <w:t>internet</w:t>
      </w:r>
      <w:proofErr w:type="gramEnd"/>
      <w:r w:rsidRPr="00595E70">
        <w:t xml:space="preserve"> searches, where possible.</w:t>
      </w:r>
    </w:p>
  </w:footnote>
  <w:footnote w:id="73">
    <w:p w14:paraId="6ADF2AE9" w14:textId="77777777" w:rsidR="003C568B" w:rsidRPr="00595E70" w:rsidRDefault="003C568B" w:rsidP="00351398">
      <w:pPr>
        <w:pStyle w:val="Footnote"/>
      </w:pPr>
      <w:r w:rsidRPr="00595E70">
        <w:rPr>
          <w:rStyle w:val="FootnoteReference"/>
        </w:rPr>
        <w:footnoteRef/>
      </w:r>
      <w:r w:rsidRPr="00595E70">
        <w:tab/>
        <w:t xml:space="preserve">Kelley n </w:t>
      </w:r>
      <w:r>
        <w:fldChar w:fldCharType="begin"/>
      </w:r>
      <w:r>
        <w:instrText xml:space="preserve"> NOTEREF _Ref384043668 \h  \* MERGEFORMAT </w:instrText>
      </w:r>
      <w:r>
        <w:fldChar w:fldCharType="separate"/>
      </w:r>
      <w:r w:rsidR="00B201F7">
        <w:t>66</w:t>
      </w:r>
      <w:r>
        <w:fldChar w:fldCharType="end"/>
      </w:r>
      <w:r w:rsidRPr="00595E70">
        <w:t xml:space="preserve"> above, 107.</w:t>
      </w:r>
    </w:p>
  </w:footnote>
  <w:footnote w:id="74">
    <w:p w14:paraId="0E7E0CEE" w14:textId="77777777" w:rsidR="003C568B" w:rsidRPr="00595E70" w:rsidRDefault="003C568B" w:rsidP="00351398">
      <w:pPr>
        <w:pStyle w:val="Footnote"/>
      </w:pPr>
      <w:r w:rsidRPr="00595E70">
        <w:rPr>
          <w:rStyle w:val="FootnoteReference"/>
        </w:rPr>
        <w:footnoteRef/>
      </w:r>
      <w:r w:rsidRPr="00595E70">
        <w:tab/>
        <w:t xml:space="preserve">Jacques </w:t>
      </w:r>
      <w:proofErr w:type="spellStart"/>
      <w:r w:rsidRPr="00595E70">
        <w:t>Rueff</w:t>
      </w:r>
      <w:proofErr w:type="spellEnd"/>
      <w:r w:rsidRPr="00595E70">
        <w:t xml:space="preserve"> (1896-1978) French Prime Minister and Minister of Finances, among other government appointments and a brilliant academic career in economics and finance, was a member of the ECJ (formerly ECSC) from 1952 to 1962.</w:t>
      </w:r>
    </w:p>
  </w:footnote>
  <w:footnote w:id="75">
    <w:p w14:paraId="14C2C9AD" w14:textId="77777777" w:rsidR="003C568B" w:rsidRPr="00595E70" w:rsidRDefault="003C568B" w:rsidP="00351398">
      <w:pPr>
        <w:pStyle w:val="Footnote"/>
      </w:pPr>
      <w:r w:rsidRPr="00595E70">
        <w:rPr>
          <w:rStyle w:val="FootnoteReference"/>
        </w:rPr>
        <w:footnoteRef/>
      </w:r>
      <w:r w:rsidRPr="00595E70">
        <w:tab/>
        <w:t xml:space="preserve">The </w:t>
      </w:r>
      <w:proofErr w:type="spellStart"/>
      <w:r w:rsidRPr="00595E70">
        <w:rPr>
          <w:i/>
        </w:rPr>
        <w:t>Comité</w:t>
      </w:r>
      <w:proofErr w:type="spellEnd"/>
      <w:r w:rsidRPr="00595E70">
        <w:rPr>
          <w:i/>
        </w:rPr>
        <w:t xml:space="preserve"> 255</w:t>
      </w:r>
      <w:r w:rsidRPr="00595E70">
        <w:t xml:space="preserve"> is active only since 2010. Further research is therefore needed to ascertain this point.</w:t>
      </w:r>
    </w:p>
    <w:p w14:paraId="0FBFA2B4" w14:textId="77777777" w:rsidR="003C568B" w:rsidRPr="00595E70" w:rsidRDefault="003C568B" w:rsidP="00351398">
      <w:pPr>
        <w:pStyle w:val="Footnote"/>
      </w:pPr>
    </w:p>
  </w:footnote>
  <w:footnote w:id="76">
    <w:p w14:paraId="45D1975A" w14:textId="43BAA611" w:rsidR="003C568B" w:rsidRPr="00595E70" w:rsidRDefault="003C568B" w:rsidP="00351398">
      <w:pPr>
        <w:pStyle w:val="Footnote"/>
      </w:pPr>
      <w:r w:rsidRPr="00595E70">
        <w:rPr>
          <w:rStyle w:val="Footnoteanchor"/>
        </w:rPr>
        <w:footnoteRef/>
      </w:r>
      <w:r>
        <w:tab/>
      </w:r>
      <w:r w:rsidRPr="00595E70">
        <w:t>E. Muir, M. Dawson and B. de Witte, ‘The European Court of justice as a Political Actor’, in E. Muir, M. Dawson and B. de Witte (</w:t>
      </w:r>
      <w:proofErr w:type="spellStart"/>
      <w:r w:rsidRPr="00595E70">
        <w:t>eds</w:t>
      </w:r>
      <w:proofErr w:type="spellEnd"/>
      <w:r w:rsidRPr="00595E70">
        <w:t xml:space="preserve">) </w:t>
      </w:r>
      <w:r w:rsidRPr="00595E70">
        <w:rPr>
          <w:i/>
        </w:rPr>
        <w:t>Judicial activism at the European Court of Justice</w:t>
      </w:r>
      <w:r w:rsidRPr="00595E70">
        <w:t xml:space="preserve"> (Cheltenham: </w:t>
      </w:r>
      <w:proofErr w:type="spellStart"/>
      <w:r w:rsidRPr="00595E70">
        <w:t>Edgard</w:t>
      </w:r>
      <w:proofErr w:type="spellEnd"/>
      <w:r w:rsidRPr="00595E70">
        <w:t xml:space="preserve"> Elgar 2013), 3. Also M. Dawson, ‘</w:t>
      </w:r>
      <w:proofErr w:type="gramStart"/>
      <w:r w:rsidRPr="00595E70">
        <w:t>The</w:t>
      </w:r>
      <w:proofErr w:type="gramEnd"/>
      <w:r w:rsidRPr="00595E70">
        <w:t xml:space="preserve"> political face of judicial activism: Europe’s law-politics imbalance’, in the same volume, 19. Also A. </w:t>
      </w:r>
      <w:proofErr w:type="spellStart"/>
      <w:r w:rsidRPr="00595E70">
        <w:t>Arnull</w:t>
      </w:r>
      <w:proofErr w:type="spellEnd"/>
      <w:r w:rsidRPr="00595E70">
        <w:t xml:space="preserve"> ‘Judicial activism and the European court of justice: how should academics respond?</w:t>
      </w:r>
      <w:proofErr w:type="gramStart"/>
      <w:r w:rsidRPr="00595E70">
        <w:t>’,</w:t>
      </w:r>
      <w:proofErr w:type="gramEnd"/>
      <w:r w:rsidRPr="00595E70">
        <w:t xml:space="preserve"> in the same volume, 231.</w:t>
      </w:r>
    </w:p>
  </w:footnote>
  <w:footnote w:id="77">
    <w:p w14:paraId="14A827DF" w14:textId="28AC2B21" w:rsidR="003C568B" w:rsidRPr="00595E70" w:rsidRDefault="003C568B" w:rsidP="00351398">
      <w:pPr>
        <w:pStyle w:val="Footnote"/>
      </w:pPr>
      <w:r w:rsidRPr="00595E70">
        <w:rPr>
          <w:rStyle w:val="Footnoteanchor"/>
        </w:rPr>
        <w:footnoteRef/>
      </w:r>
      <w:r w:rsidRPr="00595E70">
        <w:t xml:space="preserve"> For a definition of judicial activism see K. </w:t>
      </w:r>
      <w:proofErr w:type="spellStart"/>
      <w:r w:rsidRPr="00595E70">
        <w:t>Kmiec</w:t>
      </w:r>
      <w:proofErr w:type="spellEnd"/>
      <w:r w:rsidRPr="00595E70">
        <w:t xml:space="preserve">, ‘The Origin and Current Meaning of “judicial Activism”’ (2004) 92 </w:t>
      </w:r>
      <w:r w:rsidRPr="00595E70">
        <w:rPr>
          <w:i/>
        </w:rPr>
        <w:t>California Law Review</w:t>
      </w:r>
      <w:r w:rsidRPr="00595E70">
        <w:t xml:space="preserve"> 1441-1451. For judicial activism related to the ECJ see </w:t>
      </w:r>
      <w:proofErr w:type="spellStart"/>
      <w:r w:rsidRPr="00595E70">
        <w:t>Arnull</w:t>
      </w:r>
      <w:proofErr w:type="spellEnd"/>
      <w:r w:rsidRPr="00595E70">
        <w:t xml:space="preserve">, </w:t>
      </w:r>
      <w:r w:rsidRPr="00595E70">
        <w:rPr>
          <w:i/>
        </w:rPr>
        <w:t>ibid</w:t>
      </w:r>
      <w:r w:rsidRPr="00595E70">
        <w:t xml:space="preserve">, 215. The judicial activism of the Court has been </w:t>
      </w:r>
      <w:r>
        <w:t>attributed</w:t>
      </w:r>
      <w:r w:rsidRPr="00595E70">
        <w:t xml:space="preserve"> to the lack of</w:t>
      </w:r>
      <w:r>
        <w:t xml:space="preserve"> dialogue between European political </w:t>
      </w:r>
      <w:r w:rsidRPr="00595E70">
        <w:t xml:space="preserve">and jurisdictional power. See </w:t>
      </w:r>
      <w:proofErr w:type="spellStart"/>
      <w:r w:rsidRPr="00595E70">
        <w:t>Hatzopoulos</w:t>
      </w:r>
      <w:proofErr w:type="spellEnd"/>
      <w:r w:rsidRPr="00595E70">
        <w:t xml:space="preserve">, n </w:t>
      </w:r>
      <w:r>
        <w:fldChar w:fldCharType="begin"/>
      </w:r>
      <w:r>
        <w:instrText xml:space="preserve"> NOTEREF _Ref382492033 \h  \* MERGEFORMAT </w:instrText>
      </w:r>
      <w:r>
        <w:fldChar w:fldCharType="separate"/>
      </w:r>
      <w:r w:rsidR="00B201F7">
        <w:t>12</w:t>
      </w:r>
      <w:r>
        <w:fldChar w:fldCharType="end"/>
      </w:r>
      <w:r w:rsidRPr="00595E70">
        <w:t xml:space="preserve"> above, 139.</w:t>
      </w:r>
    </w:p>
  </w:footnote>
  <w:footnote w:id="78">
    <w:p w14:paraId="120E5721" w14:textId="77777777" w:rsidR="003C568B" w:rsidRPr="00595E70" w:rsidRDefault="003C568B" w:rsidP="00351398">
      <w:pPr>
        <w:pStyle w:val="Footnote"/>
      </w:pPr>
      <w:r w:rsidRPr="00595E70">
        <w:rPr>
          <w:rStyle w:val="Footnoteanchor"/>
        </w:rPr>
        <w:footnoteRef/>
      </w:r>
      <w:r>
        <w:tab/>
      </w:r>
      <w:proofErr w:type="spellStart"/>
      <w:proofErr w:type="gramStart"/>
      <w:r w:rsidRPr="00595E70">
        <w:t>Bengoetxea</w:t>
      </w:r>
      <w:proofErr w:type="spellEnd"/>
      <w:r w:rsidRPr="00595E70">
        <w:t xml:space="preserve">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w:t>
      </w:r>
      <w:proofErr w:type="gramEnd"/>
    </w:p>
  </w:footnote>
  <w:footnote w:id="79">
    <w:p w14:paraId="4B313A8B" w14:textId="77777777" w:rsidR="003C568B" w:rsidRPr="00595E70" w:rsidRDefault="003C568B" w:rsidP="00351398">
      <w:pPr>
        <w:pStyle w:val="Footnote"/>
      </w:pPr>
      <w:r w:rsidRPr="00595E70">
        <w:rPr>
          <w:rStyle w:val="Footnoteanchor"/>
        </w:rPr>
        <w:footnoteRef/>
      </w:r>
      <w:r>
        <w:rPr>
          <w:rStyle w:val="Footnoteanchor"/>
        </w:rPr>
        <w:tab/>
      </w:r>
      <w:proofErr w:type="spellStart"/>
      <w:proofErr w:type="gramStart"/>
      <w:r w:rsidRPr="00595E70">
        <w:t>Bengoetxea</w:t>
      </w:r>
      <w:proofErr w:type="spellEnd"/>
      <w:r w:rsidRPr="00595E70">
        <w:t xml:space="preserve">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218.</w:t>
      </w:r>
      <w:proofErr w:type="gramEnd"/>
      <w:r w:rsidRPr="00595E70">
        <w:t xml:space="preserve"> See also 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w:t>
      </w:r>
      <w:r w:rsidRPr="00595E70">
        <w:rPr>
          <w:i/>
        </w:rPr>
        <w:t xml:space="preserve">, </w:t>
      </w:r>
      <w:r w:rsidRPr="00595E70">
        <w:t xml:space="preserve">187. </w:t>
      </w:r>
    </w:p>
  </w:footnote>
  <w:footnote w:id="80">
    <w:p w14:paraId="3A9FD11F" w14:textId="52264EE5" w:rsidR="003C568B" w:rsidRPr="00595E70" w:rsidRDefault="003C568B" w:rsidP="00351398">
      <w:pPr>
        <w:pStyle w:val="Footnote"/>
      </w:pPr>
      <w:r w:rsidRPr="00595E70">
        <w:rPr>
          <w:rStyle w:val="Footnoteanchor"/>
        </w:rPr>
        <w:footnoteRef/>
      </w:r>
      <w:r>
        <w:tab/>
      </w:r>
      <w:r w:rsidRPr="00595E70">
        <w:t xml:space="preserve">One of the </w:t>
      </w:r>
      <w:r w:rsidRPr="00595E70">
        <w:rPr>
          <w:i/>
        </w:rPr>
        <w:t>topoi</w:t>
      </w:r>
      <w:r w:rsidRPr="00595E70">
        <w:t xml:space="preserve"> employed by the Court in its interpretative technique is the recognition of its own previous </w:t>
      </w:r>
      <w:proofErr w:type="gramStart"/>
      <w:r w:rsidRPr="00595E70">
        <w:t>case-law</w:t>
      </w:r>
      <w:proofErr w:type="gramEnd"/>
      <w:r w:rsidRPr="00595E70">
        <w:t>. Recognition and examination of previou</w:t>
      </w:r>
      <w:r>
        <w:t xml:space="preserve">s </w:t>
      </w:r>
      <w:proofErr w:type="gramStart"/>
      <w:r>
        <w:t>case-law</w:t>
      </w:r>
      <w:proofErr w:type="gramEnd"/>
      <w:r>
        <w:t xml:space="preserve"> is important in the C</w:t>
      </w:r>
      <w:r w:rsidRPr="00595E70">
        <w:t>ourt</w:t>
      </w:r>
      <w:r>
        <w:t>’s</w:t>
      </w:r>
      <w:r w:rsidRPr="00595E70">
        <w:t xml:space="preserve"> reasoning. Although </w:t>
      </w:r>
      <w:proofErr w:type="gramStart"/>
      <w:r w:rsidRPr="00595E70">
        <w:t>the Court is not bound by its precedents as in the common law system</w:t>
      </w:r>
      <w:proofErr w:type="gramEnd"/>
      <w:r w:rsidRPr="00595E70">
        <w:t xml:space="preserve">, it is compelled to seriously consider its previous case-law by the need for stability and legitimacy. See 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274.</w:t>
      </w:r>
    </w:p>
  </w:footnote>
  <w:footnote w:id="81">
    <w:p w14:paraId="202657F3" w14:textId="77777777" w:rsidR="003C568B" w:rsidRPr="00595E70" w:rsidRDefault="003C568B" w:rsidP="00351398">
      <w:pPr>
        <w:pStyle w:val="Footnote"/>
      </w:pPr>
      <w:r w:rsidRPr="00595E70">
        <w:rPr>
          <w:rStyle w:val="Footnoteanchor"/>
        </w:rPr>
        <w:footnoteRef/>
      </w:r>
      <w:r>
        <w:tab/>
      </w:r>
      <w:proofErr w:type="gramStart"/>
      <w:r w:rsidRPr="00595E70">
        <w:rPr>
          <w:i/>
        </w:rPr>
        <w:t>ibid</w:t>
      </w:r>
      <w:r w:rsidRPr="00595E70">
        <w:t>, 439.</w:t>
      </w:r>
      <w:proofErr w:type="gramEnd"/>
    </w:p>
  </w:footnote>
  <w:footnote w:id="82">
    <w:p w14:paraId="7A08B5E7" w14:textId="77777777" w:rsidR="003C568B" w:rsidRPr="00595E70" w:rsidRDefault="003C568B" w:rsidP="00351398">
      <w:pPr>
        <w:pStyle w:val="Footnote"/>
      </w:pPr>
      <w:r w:rsidRPr="00595E70">
        <w:rPr>
          <w:rStyle w:val="Footnoteanchor"/>
        </w:rPr>
        <w:footnoteRef/>
      </w:r>
      <w:r>
        <w:tab/>
      </w:r>
      <w:r w:rsidRPr="00595E70">
        <w:t xml:space="preserve">See generally </w:t>
      </w:r>
      <w:r>
        <w:t xml:space="preserve">D.M. McCormick </w:t>
      </w:r>
      <w:r w:rsidRPr="00595E70">
        <w:t xml:space="preserve">and </w:t>
      </w:r>
      <w:r>
        <w:t>R. Summers,</w:t>
      </w:r>
      <w:r w:rsidRPr="00595E70">
        <w:rPr>
          <w:i/>
        </w:rPr>
        <w:t xml:space="preserve"> Interpreting Statutes: a Comparative Study</w:t>
      </w:r>
      <w:r w:rsidRPr="00595E70">
        <w:t xml:space="preserve"> (Dartmouth: Aldershot 1991).</w:t>
      </w:r>
    </w:p>
  </w:footnote>
  <w:footnote w:id="83">
    <w:p w14:paraId="3B375AB3" w14:textId="234237D7" w:rsidR="003C568B" w:rsidRPr="00595E70" w:rsidRDefault="003C568B" w:rsidP="00351398">
      <w:pPr>
        <w:pStyle w:val="Footnote"/>
      </w:pPr>
      <w:r w:rsidRPr="00595E70">
        <w:rPr>
          <w:rStyle w:val="Footnoteanchor"/>
        </w:rPr>
        <w:footnoteRef/>
      </w:r>
      <w:r>
        <w:tab/>
      </w:r>
      <w:proofErr w:type="spellStart"/>
      <w:proofErr w:type="gramStart"/>
      <w:r w:rsidRPr="00595E70">
        <w:t>Bengoetxea</w:t>
      </w:r>
      <w:proofErr w:type="spellEnd"/>
      <w:r w:rsidRPr="00595E70">
        <w:t xml:space="preserve">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at 171.</w:t>
      </w:r>
      <w:proofErr w:type="gramEnd"/>
      <w:r>
        <w:t xml:space="preserve"> </w:t>
      </w:r>
      <w:proofErr w:type="spellStart"/>
      <w:r w:rsidRPr="00595E70">
        <w:t>Bengoetxea</w:t>
      </w:r>
      <w:proofErr w:type="spellEnd"/>
      <w:r w:rsidRPr="00595E70">
        <w:t xml:space="preserve"> makes a distinction between clear cases and difficult cases submitted to the Court. In clear cases only simple justifications are required and provided by the Court. This means that a specific norm, whose meaning is not controversial, is applied to a given factual situation. For difficult cases, conversely, more complex justifications are needed. Among the more sophisticated justifications, we find, for example: a) consistence with precedent binding law (treaties, directives)</w:t>
      </w:r>
      <w:proofErr w:type="gramStart"/>
      <w:r w:rsidRPr="00595E70">
        <w:t>;</w:t>
      </w:r>
      <w:proofErr w:type="gramEnd"/>
      <w:r w:rsidRPr="00595E70">
        <w:t xml:space="preserve"> b) consistence with general principles of law (ex. </w:t>
      </w:r>
      <w:proofErr w:type="gramStart"/>
      <w:r w:rsidRPr="00595E70">
        <w:rPr>
          <w:i/>
        </w:rPr>
        <w:t xml:space="preserve">Ne </w:t>
      </w:r>
      <w:proofErr w:type="spellStart"/>
      <w:r w:rsidRPr="00595E70">
        <w:rPr>
          <w:i/>
        </w:rPr>
        <w:t>bis</w:t>
      </w:r>
      <w:proofErr w:type="spellEnd"/>
      <w:r w:rsidRPr="00595E70">
        <w:rPr>
          <w:i/>
        </w:rPr>
        <w:t xml:space="preserve"> in idem, </w:t>
      </w:r>
      <w:proofErr w:type="spellStart"/>
      <w:r w:rsidRPr="00595E70">
        <w:rPr>
          <w:i/>
        </w:rPr>
        <w:t>lexspecialisderogatlexgenerali</w:t>
      </w:r>
      <w:proofErr w:type="spellEnd"/>
      <w:r w:rsidRPr="00595E70">
        <w:t xml:space="preserve">, etc.); c) consequent reasoning (ex. </w:t>
      </w:r>
      <w:r w:rsidRPr="00595E70">
        <w:rPr>
          <w:i/>
        </w:rPr>
        <w:t xml:space="preserve">a fortiori, a </w:t>
      </w:r>
      <w:proofErr w:type="spellStart"/>
      <w:r w:rsidRPr="00595E70">
        <w:rPr>
          <w:i/>
        </w:rPr>
        <w:t>contrario</w:t>
      </w:r>
      <w:proofErr w:type="spellEnd"/>
      <w:r w:rsidRPr="00595E70">
        <w:t>), showing that the chosen solution is preferable to the alternatives.</w:t>
      </w:r>
      <w:proofErr w:type="gramEnd"/>
      <w:r w:rsidRPr="00595E70">
        <w:t xml:space="preserve"> Clear cases are currently addressed by the Court </w:t>
      </w:r>
      <w:r>
        <w:t>through</w:t>
      </w:r>
      <w:r w:rsidRPr="00595E70">
        <w:t xml:space="preserve"> Court </w:t>
      </w:r>
      <w:proofErr w:type="gramStart"/>
      <w:r w:rsidRPr="00595E70">
        <w:t>Order</w:t>
      </w:r>
      <w:r>
        <w:t xml:space="preserve">s </w:t>
      </w:r>
      <w:r w:rsidRPr="00595E70">
        <w:t>which</w:t>
      </w:r>
      <w:proofErr w:type="gramEnd"/>
      <w:r w:rsidRPr="00595E70">
        <w:t xml:space="preserve"> generally refer to a previous ruling of the Court. Difficult cases are the most important source of European juri</w:t>
      </w:r>
      <w:r>
        <w:t xml:space="preserve">sprudence, and they </w:t>
      </w:r>
      <w:r w:rsidRPr="00595E70">
        <w:t xml:space="preserve">shape the </w:t>
      </w:r>
      <w:r>
        <w:t>contours</w:t>
      </w:r>
      <w:r w:rsidRPr="00595E70">
        <w:t xml:space="preserve"> of EU law.</w:t>
      </w:r>
    </w:p>
  </w:footnote>
  <w:footnote w:id="84">
    <w:p w14:paraId="559F6190" w14:textId="77777777" w:rsidR="003C568B" w:rsidRPr="00595E70" w:rsidRDefault="003C568B" w:rsidP="00351398">
      <w:pPr>
        <w:pStyle w:val="Footnote"/>
      </w:pPr>
      <w:r w:rsidRPr="00595E70">
        <w:rPr>
          <w:rStyle w:val="Footnoteanchor"/>
        </w:rPr>
        <w:footnoteRef/>
      </w:r>
      <w:r>
        <w:tab/>
      </w:r>
      <w:proofErr w:type="gramStart"/>
      <w:r w:rsidRPr="00595E70">
        <w:t xml:space="preserve">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279.</w:t>
      </w:r>
      <w:proofErr w:type="gramEnd"/>
    </w:p>
  </w:footnote>
  <w:footnote w:id="85">
    <w:p w14:paraId="5E6EB7AA" w14:textId="77777777" w:rsidR="003C568B" w:rsidRPr="00595E70" w:rsidRDefault="003C568B" w:rsidP="00351398">
      <w:pPr>
        <w:pStyle w:val="Footnote"/>
      </w:pPr>
      <w:r w:rsidRPr="00595E70">
        <w:rPr>
          <w:rStyle w:val="Footnoteanchor"/>
        </w:rPr>
        <w:footnoteRef/>
      </w:r>
      <w:r>
        <w:tab/>
      </w:r>
      <w:r w:rsidRPr="00595E70">
        <w:t xml:space="preserve">Rasmussen n 4 above, 29-33; P. Neill, </w:t>
      </w:r>
      <w:r>
        <w:rPr>
          <w:i/>
        </w:rPr>
        <w:t>The European Court of J</w:t>
      </w:r>
      <w:r w:rsidRPr="00595E70">
        <w:rPr>
          <w:i/>
        </w:rPr>
        <w:t>ustice: A Case Study in</w:t>
      </w:r>
      <w:r>
        <w:rPr>
          <w:i/>
        </w:rPr>
        <w:t xml:space="preserve"> J</w:t>
      </w:r>
      <w:r w:rsidRPr="00595E70">
        <w:rPr>
          <w:i/>
        </w:rPr>
        <w:t>udicial Activism</w:t>
      </w:r>
      <w:r w:rsidRPr="00595E70">
        <w:t xml:space="preserve"> (London: European Policy Forum</w:t>
      </w:r>
      <w:proofErr w:type="gramStart"/>
      <w:r w:rsidRPr="00595E70">
        <w:t>,1995</w:t>
      </w:r>
      <w:proofErr w:type="gramEnd"/>
      <w:r w:rsidRPr="00595E70">
        <w:t xml:space="preserve">), 47. However, this argument is challenged by 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285. Beck acknowledges that the ECJ Court accords less presumptive importance to linguistic argument than other supreme courts, but he argues that the impact of this factor on the quality of the jurisprudence of the Court should not be exaggerated.</w:t>
      </w:r>
    </w:p>
  </w:footnote>
  <w:footnote w:id="86">
    <w:p w14:paraId="5888D33E" w14:textId="08A5AC92" w:rsidR="003C568B" w:rsidRPr="00595E70" w:rsidRDefault="003C568B" w:rsidP="00351398">
      <w:pPr>
        <w:pStyle w:val="Footnote"/>
      </w:pPr>
      <w:r w:rsidRPr="00595E70">
        <w:rPr>
          <w:rStyle w:val="Footnoteanchor"/>
        </w:rPr>
        <w:footnoteRef/>
      </w:r>
      <w:r>
        <w:tab/>
      </w:r>
      <w:proofErr w:type="gramStart"/>
      <w:r w:rsidRPr="00595E70">
        <w:t xml:space="preserve">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439.</w:t>
      </w:r>
      <w:proofErr w:type="gramEnd"/>
      <w:r w:rsidRPr="00595E70">
        <w:t xml:space="preserve"> On the same position, see generally T. </w:t>
      </w:r>
      <w:proofErr w:type="spellStart"/>
      <w:r w:rsidRPr="00595E70">
        <w:t>Tridimas</w:t>
      </w:r>
      <w:proofErr w:type="spellEnd"/>
      <w:r w:rsidRPr="00595E70">
        <w:t xml:space="preserve">, ‘The Court of Justice and Judicial Activism’, [1996] 21(3) </w:t>
      </w:r>
      <w:r w:rsidRPr="00595E70">
        <w:rPr>
          <w:i/>
        </w:rPr>
        <w:t>European Law Review</w:t>
      </w:r>
      <w:r w:rsidRPr="00595E70">
        <w:t xml:space="preserve"> 199-210, arguing that not all ruling of the EU court of Justice are innovative (many practice some form of self-restraint) and the teleological approach often utilised by the Court is imposed by its constitutional role conferred by the treaties. See also </w:t>
      </w:r>
      <w:proofErr w:type="spellStart"/>
      <w:r w:rsidRPr="00595E70">
        <w:t>Arnull</w:t>
      </w:r>
      <w:proofErr w:type="spellEnd"/>
      <w:r w:rsidRPr="00595E70">
        <w:t xml:space="preserve"> n </w:t>
      </w:r>
      <w:r>
        <w:fldChar w:fldCharType="begin"/>
      </w:r>
      <w:r>
        <w:instrText xml:space="preserve"> NOTEREF _Ref384040699 \h  \* MERGEFORMAT </w:instrText>
      </w:r>
      <w:r>
        <w:fldChar w:fldCharType="separate"/>
      </w:r>
      <w:r w:rsidR="00B201F7">
        <w:t>32</w:t>
      </w:r>
      <w:r>
        <w:fldChar w:fldCharType="end"/>
      </w:r>
      <w:r w:rsidRPr="00595E70">
        <w:t xml:space="preserve"> above, 618 and </w:t>
      </w:r>
      <w:proofErr w:type="spellStart"/>
      <w:r w:rsidRPr="00595E70">
        <w:t>Arnull</w:t>
      </w:r>
      <w:proofErr w:type="spellEnd"/>
      <w:r w:rsidRPr="00595E70">
        <w:t xml:space="preserve"> n </w:t>
      </w:r>
      <w:r>
        <w:fldChar w:fldCharType="begin"/>
      </w:r>
      <w:r>
        <w:instrText xml:space="preserve"> NOTEREF _RefF2 \h  \* MERGEFORMAT </w:instrText>
      </w:r>
      <w:r>
        <w:fldChar w:fldCharType="separate"/>
      </w:r>
      <w:r w:rsidR="00B201F7">
        <w:t>75</w:t>
      </w:r>
      <w:r>
        <w:fldChar w:fldCharType="end"/>
      </w:r>
      <w:r w:rsidRPr="00595E70">
        <w:t xml:space="preserve"> above, 224. See also Beck n </w:t>
      </w:r>
      <w:r>
        <w:fldChar w:fldCharType="begin"/>
      </w:r>
      <w:r>
        <w:instrText xml:space="preserve"> NOTEREF _Ref404328775 \h  \* MERGEFORMAT </w:instrText>
      </w:r>
      <w:r>
        <w:fldChar w:fldCharType="separate"/>
      </w:r>
      <w:r w:rsidR="00B201F7">
        <w:t>34</w:t>
      </w:r>
      <w:r>
        <w:fldChar w:fldCharType="end"/>
      </w:r>
      <w:r>
        <w:t xml:space="preserve"> above, 235. </w:t>
      </w:r>
      <w:r w:rsidRPr="00595E70">
        <w:t xml:space="preserve">However, Beck’s findings are not uncontroversial. Others have argued that the peculiar characteristics of the EU legal system do not justify the departure from traditional legal interpretation. See Conway 2013 n </w:t>
      </w:r>
      <w:r>
        <w:fldChar w:fldCharType="begin"/>
      </w:r>
      <w:r>
        <w:instrText xml:space="preserve"> NOTEREF _Ref382492002 \h  \* MERGEFORMAT </w:instrText>
      </w:r>
      <w:r>
        <w:fldChar w:fldCharType="separate"/>
      </w:r>
      <w:r w:rsidR="00B201F7">
        <w:t>14</w:t>
      </w:r>
      <w:r>
        <w:fldChar w:fldCharType="end"/>
      </w:r>
      <w:r w:rsidRPr="00595E70">
        <w:t xml:space="preserve"> above, 273.</w:t>
      </w:r>
    </w:p>
  </w:footnote>
  <w:footnote w:id="87">
    <w:p w14:paraId="141CCD3D" w14:textId="77777777" w:rsidR="003C568B" w:rsidRPr="00595E70" w:rsidRDefault="003C568B" w:rsidP="00B13958">
      <w:pPr>
        <w:pStyle w:val="Footnote"/>
        <w:ind w:firstLine="0"/>
      </w:pPr>
      <w:r w:rsidRPr="00595E70">
        <w:rPr>
          <w:rStyle w:val="Footnoteanchor"/>
        </w:rPr>
        <w:footnoteRef/>
      </w:r>
      <w:proofErr w:type="gramStart"/>
      <w:r w:rsidRPr="00595E70">
        <w:t xml:space="preserve">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313.</w:t>
      </w:r>
      <w:proofErr w:type="gramEnd"/>
    </w:p>
  </w:footnote>
  <w:footnote w:id="88">
    <w:p w14:paraId="2FFA5D3A" w14:textId="77777777" w:rsidR="003C568B" w:rsidRPr="00595E70" w:rsidRDefault="003C568B" w:rsidP="00351398">
      <w:pPr>
        <w:pStyle w:val="Footnote"/>
      </w:pPr>
      <w:r w:rsidRPr="00595E70">
        <w:rPr>
          <w:rStyle w:val="Footnoteanchor"/>
        </w:rPr>
        <w:footnoteRef/>
      </w:r>
      <w:r w:rsidRPr="00595E70">
        <w:t xml:space="preserve"> The text of the Treaties is inherently vague, and it represents a pluralism of values. This for example is one source of leeway for the legal reasoning of the Court. 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235-237</w:t>
      </w:r>
    </w:p>
  </w:footnote>
  <w:footnote w:id="89">
    <w:p w14:paraId="32D73929" w14:textId="77777777" w:rsidR="003C568B" w:rsidRPr="00890E84" w:rsidRDefault="003C568B" w:rsidP="00351398">
      <w:pPr>
        <w:pStyle w:val="Footnote"/>
        <w:rPr>
          <w:rFonts w:ascii="Times" w:eastAsia="Times New Roman" w:hAnsi="Times"/>
          <w:lang w:eastAsia="en-US"/>
        </w:rPr>
      </w:pPr>
      <w:r w:rsidRPr="00595E70">
        <w:rPr>
          <w:rStyle w:val="Footnoteanchor"/>
        </w:rPr>
        <w:footnoteRef/>
      </w:r>
      <w:r w:rsidRPr="00595E70">
        <w:t xml:space="preserve"> These are interpretative arguments that the Courts use in their legal reasoning. The literature suggests that the ECJ uses by and large the same </w:t>
      </w:r>
      <w:r w:rsidRPr="00595E70">
        <w:rPr>
          <w:i/>
        </w:rPr>
        <w:t>topoi</w:t>
      </w:r>
      <w:r w:rsidRPr="00595E70">
        <w:t xml:space="preserve"> than other courts worldwide: reference to general principles of law, purposive (teleological</w:t>
      </w:r>
      <w:r w:rsidRPr="00595E70">
        <w:rPr>
          <w:i/>
        </w:rPr>
        <w:t xml:space="preserve">, </w:t>
      </w:r>
      <w:proofErr w:type="spellStart"/>
      <w:r w:rsidRPr="00595E70">
        <w:rPr>
          <w:i/>
        </w:rPr>
        <w:t>effet</w:t>
      </w:r>
      <w:proofErr w:type="spellEnd"/>
      <w:r w:rsidRPr="00595E70">
        <w:rPr>
          <w:i/>
        </w:rPr>
        <w:t xml:space="preserve"> utile</w:t>
      </w:r>
      <w:r w:rsidRPr="00595E70">
        <w:t xml:space="preserve">), comparative, historic (intention of the legislator), logic </w:t>
      </w:r>
      <w:r w:rsidRPr="00595E70">
        <w:rPr>
          <w:i/>
        </w:rPr>
        <w:t xml:space="preserve">(a </w:t>
      </w:r>
      <w:proofErr w:type="spellStart"/>
      <w:r w:rsidRPr="00595E70">
        <w:rPr>
          <w:i/>
        </w:rPr>
        <w:t>contrario</w:t>
      </w:r>
      <w:proofErr w:type="spellEnd"/>
      <w:r w:rsidRPr="00595E70">
        <w:rPr>
          <w:i/>
        </w:rPr>
        <w:t>, a fortiori, ad absurdum</w:t>
      </w:r>
      <w:r w:rsidRPr="00595E70">
        <w:t>), reference to principles of law (</w:t>
      </w:r>
      <w:proofErr w:type="spellStart"/>
      <w:r w:rsidRPr="00595E70">
        <w:rPr>
          <w:i/>
        </w:rPr>
        <w:t>lexspecialis</w:t>
      </w:r>
      <w:proofErr w:type="spellEnd"/>
      <w:r w:rsidRPr="00595E70">
        <w:rPr>
          <w:i/>
        </w:rPr>
        <w:t xml:space="preserve">, </w:t>
      </w:r>
      <w:proofErr w:type="spellStart"/>
      <w:r w:rsidRPr="00595E70">
        <w:rPr>
          <w:i/>
        </w:rPr>
        <w:t>lex</w:t>
      </w:r>
      <w:proofErr w:type="spellEnd"/>
      <w:r w:rsidRPr="00595E70">
        <w:rPr>
          <w:i/>
        </w:rPr>
        <w:t xml:space="preserve"> superior</w:t>
      </w:r>
      <w:r w:rsidRPr="00595E70">
        <w:t xml:space="preserve">) etc. However, some of the systemic and purposive </w:t>
      </w:r>
      <w:r w:rsidRPr="00595E70">
        <w:rPr>
          <w:i/>
        </w:rPr>
        <w:t>topoi</w:t>
      </w:r>
      <w:r w:rsidRPr="00595E70">
        <w:t xml:space="preserve"> are specific to EU Law (for example, </w:t>
      </w:r>
      <w:proofErr w:type="spellStart"/>
      <w:r w:rsidRPr="00890E84">
        <w:t>the</w:t>
      </w:r>
      <w:r w:rsidRPr="00595E70">
        <w:rPr>
          <w:i/>
        </w:rPr>
        <w:t>effet</w:t>
      </w:r>
      <w:proofErr w:type="spellEnd"/>
      <w:r w:rsidRPr="00595E70">
        <w:rPr>
          <w:i/>
        </w:rPr>
        <w:t xml:space="preserve"> </w:t>
      </w:r>
      <w:proofErr w:type="spellStart"/>
      <w:r w:rsidRPr="00595E70">
        <w:rPr>
          <w:i/>
        </w:rPr>
        <w:t>utile</w:t>
      </w:r>
      <w:r>
        <w:t>that</w:t>
      </w:r>
      <w:proofErr w:type="spellEnd"/>
      <w:r>
        <w:t xml:space="preserve"> amongst competing interpretations the one will prevail that best guarantees the practical effect of existing community law</w:t>
      </w:r>
      <w:r w:rsidRPr="00595E70">
        <w:t>)</w:t>
      </w:r>
      <w:proofErr w:type="gramStart"/>
      <w:r w:rsidRPr="00595E70">
        <w:t>.Beck</w:t>
      </w:r>
      <w:proofErr w:type="gramEnd"/>
      <w:r w:rsidRPr="00595E70">
        <w:t xml:space="preserve"> 2013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at 230.Also </w:t>
      </w:r>
      <w:proofErr w:type="spellStart"/>
      <w:r w:rsidRPr="00595E70">
        <w:t>Bengoetxea</w:t>
      </w:r>
      <w:proofErr w:type="spellEnd"/>
      <w:r w:rsidRPr="00595E70">
        <w:t xml:space="preserve">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at 254. The lack of hierarchy in the Court’s legal approaches is confirmed by the analysis of </w:t>
      </w:r>
      <w:proofErr w:type="spellStart"/>
      <w:r w:rsidRPr="00595E70">
        <w:t>Arnull</w:t>
      </w:r>
      <w:proofErr w:type="spellEnd"/>
      <w:r w:rsidRPr="00595E70">
        <w:t xml:space="preserve"> n </w:t>
      </w:r>
      <w:r>
        <w:fldChar w:fldCharType="begin"/>
      </w:r>
      <w:r>
        <w:instrText xml:space="preserve"> NOTEREF _Ref384040699 \h  \* MERGEFORMAT </w:instrText>
      </w:r>
      <w:r>
        <w:fldChar w:fldCharType="separate"/>
      </w:r>
      <w:r w:rsidR="00B201F7">
        <w:t>32</w:t>
      </w:r>
      <w:r>
        <w:fldChar w:fldCharType="end"/>
      </w:r>
      <w:r w:rsidRPr="00595E70">
        <w:t xml:space="preserve"> above, 617.</w:t>
      </w:r>
    </w:p>
  </w:footnote>
  <w:footnote w:id="90">
    <w:p w14:paraId="05B8B17D" w14:textId="3123E4D4" w:rsidR="003C568B" w:rsidRPr="00595E70" w:rsidRDefault="003C568B" w:rsidP="00351398">
      <w:pPr>
        <w:pStyle w:val="Footnote"/>
      </w:pPr>
      <w:r w:rsidRPr="00595E70">
        <w:rPr>
          <w:rStyle w:val="Footnoteanchor"/>
        </w:rPr>
        <w:footnoteRef/>
      </w:r>
      <w:r w:rsidR="00B13958">
        <w:tab/>
      </w:r>
      <w:proofErr w:type="gramStart"/>
      <w:r w:rsidRPr="00595E70">
        <w:t xml:space="preserve">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278.</w:t>
      </w:r>
      <w:proofErr w:type="gramEnd"/>
      <w:r w:rsidRPr="00595E70">
        <w:t xml:space="preserve"> For a contrasting position, arguing that literal </w:t>
      </w:r>
      <w:r w:rsidRPr="00595E70">
        <w:rPr>
          <w:i/>
        </w:rPr>
        <w:t>topoi</w:t>
      </w:r>
      <w:r w:rsidRPr="00595E70">
        <w:t xml:space="preserve"> should precede systematic arguments, and that purposive </w:t>
      </w:r>
      <w:r w:rsidRPr="00595E70">
        <w:rPr>
          <w:i/>
        </w:rPr>
        <w:t>topoi</w:t>
      </w:r>
      <w:r w:rsidRPr="00595E70">
        <w:t xml:space="preserve"> should be used only when the previous two are insufficient. See McCormick and </w:t>
      </w:r>
      <w:proofErr w:type="gramStart"/>
      <w:r w:rsidRPr="00595E70">
        <w:t>Summers</w:t>
      </w:r>
      <w:proofErr w:type="gramEnd"/>
      <w:r w:rsidRPr="00595E70">
        <w:t xml:space="preserve"> n </w:t>
      </w:r>
      <w:r>
        <w:fldChar w:fldCharType="begin"/>
      </w:r>
      <w:r>
        <w:instrText xml:space="preserve"> NOTEREF _RefF11 \h  \* MERGEFORMAT </w:instrText>
      </w:r>
      <w:r>
        <w:fldChar w:fldCharType="separate"/>
      </w:r>
      <w:r w:rsidR="00B201F7">
        <w:t>81</w:t>
      </w:r>
      <w:r>
        <w:fldChar w:fldCharType="end"/>
      </w:r>
      <w:r w:rsidRPr="00595E70">
        <w:t xml:space="preserve"> above.</w:t>
      </w:r>
    </w:p>
  </w:footnote>
  <w:footnote w:id="91">
    <w:p w14:paraId="197DC8DA" w14:textId="490E67B1" w:rsidR="003C568B" w:rsidRPr="00595E70" w:rsidRDefault="003C568B" w:rsidP="00351398">
      <w:pPr>
        <w:pStyle w:val="Footnote"/>
      </w:pPr>
      <w:r w:rsidRPr="00595E70">
        <w:rPr>
          <w:rStyle w:val="Footnoteanchor"/>
        </w:rPr>
        <w:footnoteRef/>
      </w:r>
      <w:r w:rsidR="00B13958">
        <w:tab/>
      </w:r>
      <w:proofErr w:type="gramStart"/>
      <w:r w:rsidRPr="00595E70">
        <w:t xml:space="preserve">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435.</w:t>
      </w:r>
      <w:proofErr w:type="gramEnd"/>
    </w:p>
  </w:footnote>
  <w:footnote w:id="92">
    <w:p w14:paraId="098F0EC4" w14:textId="48ACC080" w:rsidR="003C568B" w:rsidRPr="00595E70" w:rsidRDefault="003C568B" w:rsidP="00351398">
      <w:pPr>
        <w:pStyle w:val="Footnote"/>
      </w:pPr>
      <w:r w:rsidRPr="00595E70">
        <w:rPr>
          <w:rStyle w:val="Footnoteanchor"/>
        </w:rPr>
        <w:footnoteRef/>
      </w:r>
      <w:r w:rsidR="00B13958">
        <w:tab/>
      </w:r>
      <w:proofErr w:type="gramStart"/>
      <w:r w:rsidRPr="00595E70">
        <w:t xml:space="preserve">C-376/98 </w:t>
      </w:r>
      <w:r w:rsidRPr="00595E70">
        <w:rPr>
          <w:i/>
        </w:rPr>
        <w:t>Germany v. Parliament and Council</w:t>
      </w:r>
      <w:r w:rsidRPr="00595E70">
        <w:t xml:space="preserve"> [2000] ECR 08419 (83).</w:t>
      </w:r>
      <w:proofErr w:type="gramEnd"/>
      <w:r>
        <w:t xml:space="preserve"> </w:t>
      </w:r>
      <w:r w:rsidRPr="00595E70">
        <w:t xml:space="preserve">Cited by Beck n </w:t>
      </w:r>
      <w:r>
        <w:fldChar w:fldCharType="begin"/>
      </w:r>
      <w:r>
        <w:instrText xml:space="preserve"> NOTEREF _Ref404328775 \h  \* MERGEFORMAT </w:instrText>
      </w:r>
      <w:r>
        <w:fldChar w:fldCharType="separate"/>
      </w:r>
      <w:r w:rsidR="00B201F7">
        <w:t>34</w:t>
      </w:r>
      <w:r>
        <w:fldChar w:fldCharType="end"/>
      </w:r>
      <w:r w:rsidRPr="00595E70">
        <w:t xml:space="preserve"> above, 188.</w:t>
      </w:r>
    </w:p>
  </w:footnote>
  <w:footnote w:id="93">
    <w:p w14:paraId="50363830" w14:textId="77777777" w:rsidR="003C568B" w:rsidRPr="00595E70" w:rsidRDefault="003C568B" w:rsidP="00351398">
      <w:pPr>
        <w:pStyle w:val="Footnote"/>
      </w:pPr>
      <w:r w:rsidRPr="00595E70">
        <w:rPr>
          <w:rStyle w:val="Footnoteanchor"/>
        </w:rPr>
        <w:footnoteRef/>
      </w:r>
      <w:r w:rsidRPr="00595E70">
        <w:t xml:space="preserve"> Other researchers have classified recitals as ‘systematic’, because they belong to a contextual interpretation of the law (Beck n </w:t>
      </w:r>
      <w:r>
        <w:fldChar w:fldCharType="begin"/>
      </w:r>
      <w:r>
        <w:instrText xml:space="preserve"> NOTEREF _Ref404328775 \h  \* MERGEFORMAT </w:instrText>
      </w:r>
      <w:r>
        <w:fldChar w:fldCharType="separate"/>
      </w:r>
      <w:r w:rsidR="00B201F7">
        <w:t>34</w:t>
      </w:r>
      <w:r>
        <w:fldChar w:fldCharType="end"/>
      </w:r>
      <w:r w:rsidRPr="00595E70">
        <w:t xml:space="preserve"> above, 191). However, we distinguish between recitals as a mere clarification of the text of the law (which we have coded as ‘semantic’), references to historical, philosophical, economical context, or to international treaties or other directives (which we have coded as ‘systematic’), and the use of recitals for constructing aims (which we have coded as ‘teleological’). For the function of recitals as mere clarification of the text of the law see the Joint practical guide of the European Parliament, the Council and the Commission, available at http://eur-lex.europa.eu/en/techleg/10.htm (last accessed 5 January 2014): ’10. The purpose of the recitals is to set out concise reasons for the chief provisions of the enacting terms, without reproducing or paraphrasing them. They shall not contain normative provisions or political exhortations.’ </w:t>
      </w:r>
    </w:p>
  </w:footnote>
  <w:footnote w:id="94">
    <w:p w14:paraId="4B16721D" w14:textId="77777777" w:rsidR="003C568B" w:rsidRPr="00595E70" w:rsidRDefault="003C568B" w:rsidP="00351398">
      <w:pPr>
        <w:pStyle w:val="Footnote"/>
      </w:pPr>
      <w:r w:rsidRPr="00595E70">
        <w:rPr>
          <w:rStyle w:val="Footnoteanchor"/>
        </w:rPr>
        <w:footnoteRef/>
      </w:r>
      <w:r w:rsidRPr="00595E70">
        <w:t xml:space="preserve"> </w:t>
      </w:r>
      <w:proofErr w:type="gramStart"/>
      <w:r w:rsidRPr="00595E70">
        <w:t xml:space="preserve">This classification was implemented by </w:t>
      </w:r>
      <w:proofErr w:type="spellStart"/>
      <w:r w:rsidRPr="00595E70">
        <w:t>Bengoetxea</w:t>
      </w:r>
      <w:proofErr w:type="spellEnd"/>
      <w:r w:rsidRPr="00595E70">
        <w:t xml:space="preserve">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240</w:t>
      </w:r>
      <w:proofErr w:type="gramEnd"/>
      <w:r w:rsidRPr="00595E70">
        <w:t>.</w:t>
      </w:r>
    </w:p>
  </w:footnote>
  <w:footnote w:id="95">
    <w:p w14:paraId="372492DC" w14:textId="77777777" w:rsidR="003C568B" w:rsidRPr="00595E70" w:rsidRDefault="003C568B" w:rsidP="00351398">
      <w:pPr>
        <w:pStyle w:val="Footnote"/>
      </w:pPr>
      <w:r w:rsidRPr="00595E70">
        <w:rPr>
          <w:rStyle w:val="Footnoteanchor"/>
        </w:rPr>
        <w:footnoteRef/>
      </w:r>
      <w:r w:rsidRPr="00595E70">
        <w:t xml:space="preserve">Burrows and Greaves, </w:t>
      </w:r>
      <w:proofErr w:type="spellStart"/>
      <w:r w:rsidRPr="00595E70">
        <w:t>n</w:t>
      </w:r>
      <w:r>
        <w:fldChar w:fldCharType="begin"/>
      </w:r>
      <w:r>
        <w:instrText xml:space="preserve"> NOTEREF _Ref383615186 \h  \* MERGEFORMAT </w:instrText>
      </w:r>
      <w:r>
        <w:fldChar w:fldCharType="separate"/>
      </w:r>
      <w:r w:rsidR="00B201F7">
        <w:rPr>
          <w:b/>
        </w:rPr>
        <w:t>Error</w:t>
      </w:r>
      <w:proofErr w:type="spellEnd"/>
      <w:r w:rsidR="00B201F7">
        <w:rPr>
          <w:b/>
        </w:rPr>
        <w:t>! Bookmark not defined.</w:t>
      </w:r>
      <w:r>
        <w:fldChar w:fldCharType="end"/>
      </w:r>
    </w:p>
  </w:footnote>
  <w:footnote w:id="96">
    <w:p w14:paraId="1122D0F9" w14:textId="77777777" w:rsidR="003C568B" w:rsidRPr="00595E70" w:rsidRDefault="003C568B" w:rsidP="00351398">
      <w:pPr>
        <w:pStyle w:val="Footnote"/>
      </w:pPr>
      <w:r w:rsidRPr="00595E70">
        <w:rPr>
          <w:rStyle w:val="Footnoteanchor"/>
        </w:rPr>
        <w:footnoteRef/>
      </w:r>
      <w:proofErr w:type="spellStart"/>
      <w:proofErr w:type="gramStart"/>
      <w:r w:rsidRPr="00595E70">
        <w:t>Bengoetxea</w:t>
      </w:r>
      <w:proofErr w:type="spellEnd"/>
      <w:r w:rsidRPr="00595E70">
        <w:t xml:space="preserve">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251.</w:t>
      </w:r>
      <w:proofErr w:type="gramEnd"/>
    </w:p>
  </w:footnote>
  <w:footnote w:id="97">
    <w:p w14:paraId="7FB7AC22" w14:textId="708FBA76" w:rsidR="003C568B" w:rsidRPr="00595E70" w:rsidRDefault="003C568B" w:rsidP="00351398">
      <w:pPr>
        <w:pStyle w:val="Footnote"/>
      </w:pPr>
      <w:r w:rsidRPr="00595E70">
        <w:rPr>
          <w:rStyle w:val="Footnoteanchor"/>
        </w:rPr>
        <w:footnoteRef/>
      </w:r>
      <w:r w:rsidRPr="00595E70">
        <w:t xml:space="preserve"> C-393/09 - </w:t>
      </w:r>
      <w:proofErr w:type="spellStart"/>
      <w:r w:rsidRPr="00595E70">
        <w:rPr>
          <w:i/>
        </w:rPr>
        <w:t>Bezpe</w:t>
      </w:r>
      <w:r w:rsidRPr="00595E70">
        <w:rPr>
          <w:rFonts w:eastAsia="MS Mincho" w:hint="eastAsia"/>
          <w:i/>
        </w:rPr>
        <w:t>č</w:t>
      </w:r>
      <w:r w:rsidRPr="00595E70">
        <w:rPr>
          <w:i/>
        </w:rPr>
        <w:t>nostnísoftwarováasociace</w:t>
      </w:r>
      <w:proofErr w:type="spellEnd"/>
      <w:r>
        <w:t xml:space="preserve"> [2007] ECR I</w:t>
      </w:r>
      <w:r>
        <w:noBreakHyphen/>
        <w:t xml:space="preserve"> 4887</w:t>
      </w:r>
      <w:r w:rsidRPr="00595E70">
        <w:t xml:space="preserve">, </w:t>
      </w:r>
      <w:r>
        <w:t>Judgment</w:t>
      </w:r>
      <w:r w:rsidRPr="00595E70">
        <w:t xml:space="preserve">, 30; C-431/09 - </w:t>
      </w:r>
      <w:r w:rsidRPr="00595E70">
        <w:rPr>
          <w:i/>
        </w:rPr>
        <w:t xml:space="preserve">Airfield and Canal </w:t>
      </w:r>
      <w:proofErr w:type="spellStart"/>
      <w:r w:rsidRPr="00595E70">
        <w:rPr>
          <w:i/>
        </w:rPr>
        <w:t>Digitaal</w:t>
      </w:r>
      <w:proofErr w:type="spellEnd"/>
      <w:r w:rsidRPr="00595E70">
        <w:t xml:space="preserve"> [2012] ECDR 3, Opinion of AG </w:t>
      </w:r>
      <w:proofErr w:type="spellStart"/>
      <w:r w:rsidRPr="00595E70">
        <w:t>Jääskinen</w:t>
      </w:r>
      <w:proofErr w:type="spellEnd"/>
      <w:r w:rsidRPr="00595E70">
        <w:t xml:space="preserve">, 50; C-5/08 - </w:t>
      </w:r>
      <w:proofErr w:type="spellStart"/>
      <w:r w:rsidRPr="00595E70">
        <w:rPr>
          <w:i/>
        </w:rPr>
        <w:t>Infopaq</w:t>
      </w:r>
      <w:proofErr w:type="spellEnd"/>
      <w:r w:rsidRPr="00595E70">
        <w:rPr>
          <w:i/>
        </w:rPr>
        <w:t xml:space="preserve"> International</w:t>
      </w:r>
      <w:r w:rsidRPr="00595E70">
        <w:t xml:space="preserve"> [2009] ECR I-6569, </w:t>
      </w:r>
      <w:r>
        <w:t>Judgment</w:t>
      </w:r>
      <w:r w:rsidRPr="00595E70">
        <w:t xml:space="preserve">, 32; C-403/08 - </w:t>
      </w:r>
      <w:r w:rsidRPr="00595E70">
        <w:rPr>
          <w:i/>
        </w:rPr>
        <w:t>Football Association Premier League and Others</w:t>
      </w:r>
      <w:r w:rsidRPr="00595E70">
        <w:t xml:space="preserve"> and C429/08 </w:t>
      </w:r>
      <w:r w:rsidRPr="00595E70">
        <w:rPr>
          <w:i/>
        </w:rPr>
        <w:t>Murphy</w:t>
      </w:r>
      <w:r>
        <w:t xml:space="preserve"> [2011] ECR I-09083</w:t>
      </w:r>
      <w:r w:rsidRPr="00595E70">
        <w:t xml:space="preserve">, Opinion of AG </w:t>
      </w:r>
      <w:proofErr w:type="spellStart"/>
      <w:r w:rsidRPr="00595E70">
        <w:t>Kokott</w:t>
      </w:r>
      <w:proofErr w:type="spellEnd"/>
      <w:r w:rsidRPr="00595E70">
        <w:t>, 120.</w:t>
      </w:r>
    </w:p>
  </w:footnote>
  <w:footnote w:id="98">
    <w:p w14:paraId="44537FB9" w14:textId="77777777" w:rsidR="003C568B" w:rsidRPr="00595E70" w:rsidRDefault="003C568B" w:rsidP="00351398">
      <w:pPr>
        <w:pStyle w:val="Footnote"/>
      </w:pPr>
      <w:r w:rsidRPr="00595E70">
        <w:rPr>
          <w:rStyle w:val="Footnoteanchor"/>
        </w:rPr>
        <w:footnoteRef/>
      </w:r>
      <w:r w:rsidRPr="00595E70">
        <w:rPr>
          <w:i/>
        </w:rPr>
        <w:t>ibid</w:t>
      </w:r>
      <w:r w:rsidRPr="00595E70">
        <w:t>.</w:t>
      </w:r>
    </w:p>
  </w:footnote>
  <w:footnote w:id="99">
    <w:p w14:paraId="5257C149" w14:textId="77777777" w:rsidR="003C568B" w:rsidRPr="00595E70" w:rsidRDefault="003C568B" w:rsidP="00351398">
      <w:pPr>
        <w:pStyle w:val="Footnote"/>
      </w:pPr>
      <w:r w:rsidRPr="00595E70">
        <w:rPr>
          <w:rStyle w:val="Footnoteanchor"/>
        </w:rPr>
        <w:footnoteRef/>
      </w:r>
      <w:r w:rsidRPr="00595E70">
        <w:t xml:space="preserve"> More in detail, we have found one reference to the ‘</w:t>
      </w:r>
      <w:proofErr w:type="spellStart"/>
      <w:r w:rsidRPr="00595E70">
        <w:rPr>
          <w:i/>
        </w:rPr>
        <w:t>effet</w:t>
      </w:r>
      <w:proofErr w:type="spellEnd"/>
      <w:r w:rsidRPr="00595E70">
        <w:rPr>
          <w:i/>
        </w:rPr>
        <w:t xml:space="preserve"> utile</w:t>
      </w:r>
      <w:r w:rsidRPr="00595E70">
        <w:t xml:space="preserve">’ doctrine, in C-462/09 </w:t>
      </w:r>
      <w:r w:rsidRPr="00595E70">
        <w:rPr>
          <w:i/>
        </w:rPr>
        <w:t xml:space="preserve">- </w:t>
      </w:r>
      <w:proofErr w:type="spellStart"/>
      <w:r w:rsidRPr="00595E70">
        <w:rPr>
          <w:i/>
        </w:rPr>
        <w:t>Stichting</w:t>
      </w:r>
      <w:proofErr w:type="spellEnd"/>
      <w:r w:rsidRPr="00595E70">
        <w:rPr>
          <w:i/>
        </w:rPr>
        <w:t xml:space="preserve"> de </w:t>
      </w:r>
      <w:proofErr w:type="spellStart"/>
      <w:r w:rsidRPr="00595E70">
        <w:rPr>
          <w:i/>
        </w:rPr>
        <w:t>Thuiskopie</w:t>
      </w:r>
      <w:proofErr w:type="spellEnd"/>
      <w:r w:rsidRPr="00595E70">
        <w:t xml:space="preserve"> [2011] ECR I-05331, Opinion of AG </w:t>
      </w:r>
      <w:proofErr w:type="spellStart"/>
      <w:r w:rsidRPr="00595E70">
        <w:t>Jääskinen</w:t>
      </w:r>
      <w:proofErr w:type="spellEnd"/>
      <w:r w:rsidRPr="00595E70">
        <w:t xml:space="preserve">, ‘The </w:t>
      </w:r>
      <w:proofErr w:type="spellStart"/>
      <w:r w:rsidRPr="00595E70">
        <w:rPr>
          <w:i/>
        </w:rPr>
        <w:t>effet</w:t>
      </w:r>
      <w:proofErr w:type="spellEnd"/>
      <w:r w:rsidRPr="00595E70">
        <w:rPr>
          <w:i/>
        </w:rPr>
        <w:t xml:space="preserve"> utile</w:t>
      </w:r>
      <w:r w:rsidRPr="00595E70">
        <w:t xml:space="preserve"> of Articles 2 and 5(2) of Directive 2001/29 could not otherwise be achieved’ (25). Moreover, we have found few references to the uniform application of the law (six cases) and to the proportionality principle (five cases).</w:t>
      </w:r>
    </w:p>
  </w:footnote>
  <w:footnote w:id="100">
    <w:p w14:paraId="0B9EE8A3" w14:textId="42BF7883" w:rsidR="003C568B" w:rsidRPr="00595E70" w:rsidRDefault="003C568B" w:rsidP="00351398">
      <w:pPr>
        <w:pStyle w:val="Footnote"/>
      </w:pPr>
      <w:r w:rsidRPr="00595E70">
        <w:rPr>
          <w:rStyle w:val="Footnoteanchor"/>
        </w:rPr>
        <w:footnoteRef/>
      </w:r>
      <w:r w:rsidRPr="00595E70">
        <w:t xml:space="preserve"> </w:t>
      </w:r>
      <w:proofErr w:type="gramStart"/>
      <w:r w:rsidRPr="00595E70">
        <w:t xml:space="preserve">C-510/10 – </w:t>
      </w:r>
      <w:r w:rsidRPr="00595E70">
        <w:rPr>
          <w:i/>
        </w:rPr>
        <w:t xml:space="preserve">DR </w:t>
      </w:r>
      <w:r w:rsidRPr="00595E70">
        <w:t xml:space="preserve">and TV2 </w:t>
      </w:r>
      <w:proofErr w:type="spellStart"/>
      <w:r w:rsidRPr="00595E70">
        <w:rPr>
          <w:i/>
        </w:rPr>
        <w:t>Danmark</w:t>
      </w:r>
      <w:proofErr w:type="spellEnd"/>
      <w:r w:rsidRPr="00595E70">
        <w:t xml:space="preserve"> [2013] ECR I-0000, </w:t>
      </w:r>
      <w:r>
        <w:t>Judgment</w:t>
      </w:r>
      <w:r w:rsidRPr="00595E70">
        <w:t>, 43.</w:t>
      </w:r>
      <w:proofErr w:type="gramEnd"/>
    </w:p>
  </w:footnote>
  <w:footnote w:id="101">
    <w:p w14:paraId="6A4F63E5" w14:textId="77777777" w:rsidR="003C568B" w:rsidRPr="00595E70" w:rsidRDefault="003C568B" w:rsidP="00351398">
      <w:pPr>
        <w:pStyle w:val="Footnote"/>
      </w:pPr>
      <w:r w:rsidRPr="00595E70">
        <w:rPr>
          <w:rStyle w:val="Footnoteanchor"/>
        </w:rPr>
        <w:footnoteRef/>
      </w:r>
      <w:proofErr w:type="gramStart"/>
      <w:r w:rsidRPr="00595E70">
        <w:rPr>
          <w:i/>
        </w:rPr>
        <w:t>ibid</w:t>
      </w:r>
      <w:r w:rsidRPr="00595E70">
        <w:t>, 45.</w:t>
      </w:r>
      <w:proofErr w:type="gramEnd"/>
      <w:r w:rsidRPr="00595E70">
        <w:t xml:space="preserve"> See also </w:t>
      </w:r>
      <w:r w:rsidRPr="00595E70">
        <w:rPr>
          <w:i/>
        </w:rPr>
        <w:t>ibid</w:t>
      </w:r>
      <w:r w:rsidRPr="00595E70">
        <w:t xml:space="preserve">, the Opinion of AG </w:t>
      </w:r>
      <w:proofErr w:type="spellStart"/>
      <w:r w:rsidRPr="00595E70">
        <w:t>Trstenjak</w:t>
      </w:r>
      <w:proofErr w:type="spellEnd"/>
      <w:r w:rsidRPr="00595E70">
        <w:t xml:space="preserve">, 40: ‘In my opinion, the numerical ratio of the language versions containing the conjunctions in question (‘and’ or </w:t>
      </w:r>
      <w:proofErr w:type="gramStart"/>
      <w:r w:rsidRPr="00595E70">
        <w:t>‘or’ )</w:t>
      </w:r>
      <w:proofErr w:type="gramEnd"/>
      <w:r w:rsidRPr="00595E70">
        <w:t xml:space="preserve"> is as immaterial as differences of linguistic detail, the determining factor being the purpose and general scheme of the rules of which they form a part.’</w:t>
      </w:r>
    </w:p>
  </w:footnote>
  <w:footnote w:id="102">
    <w:p w14:paraId="02B82841" w14:textId="77777777" w:rsidR="003C568B" w:rsidRPr="00595E70" w:rsidRDefault="003C568B" w:rsidP="00351398">
      <w:pPr>
        <w:pStyle w:val="Footnote"/>
      </w:pPr>
      <w:r w:rsidRPr="00595E70">
        <w:rPr>
          <w:rStyle w:val="Footnoteanchor"/>
        </w:rPr>
        <w:footnoteRef/>
      </w:r>
      <w:proofErr w:type="gramStart"/>
      <w:r w:rsidRPr="00595E70">
        <w:t xml:space="preserve">Beck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235ss. </w:t>
      </w:r>
      <w:proofErr w:type="spellStart"/>
      <w:r w:rsidRPr="00595E70">
        <w:t>Bengoetxea</w:t>
      </w:r>
      <w:proofErr w:type="spellEnd"/>
      <w:r w:rsidRPr="00595E70">
        <w:t xml:space="preserve"> n </w:t>
      </w:r>
      <w:r w:rsidRPr="00595E70">
        <w:fldChar w:fldCharType="begin"/>
      </w:r>
      <w:r w:rsidRPr="00595E70">
        <w:instrText xml:space="preserve"> NOTEREF _Ref413418321 \h </w:instrText>
      </w:r>
      <w:r w:rsidRPr="00595E70">
        <w:fldChar w:fldCharType="separate"/>
      </w:r>
      <w:r w:rsidR="00B201F7">
        <w:t>8</w:t>
      </w:r>
      <w:r w:rsidRPr="00595E70">
        <w:fldChar w:fldCharType="end"/>
      </w:r>
      <w:r w:rsidRPr="00595E70">
        <w:t xml:space="preserve"> above, 225.</w:t>
      </w:r>
      <w:proofErr w:type="gramEnd"/>
    </w:p>
  </w:footnote>
  <w:footnote w:id="103">
    <w:p w14:paraId="6DECF3D7" w14:textId="77777777" w:rsidR="003C568B" w:rsidRPr="00E90FAB" w:rsidRDefault="003C568B" w:rsidP="00351398">
      <w:pPr>
        <w:pStyle w:val="Footnote"/>
        <w:rPr>
          <w:lang w:val="fr-FR"/>
        </w:rPr>
      </w:pPr>
      <w:r w:rsidRPr="00595E70">
        <w:rPr>
          <w:rStyle w:val="Footnoteanchor"/>
        </w:rPr>
        <w:footnoteRef/>
      </w:r>
      <w:r w:rsidRPr="00E90FAB">
        <w:rPr>
          <w:lang w:val="fr-FR"/>
        </w:rPr>
        <w:t xml:space="preserve"> C-10/</w:t>
      </w:r>
      <w:r w:rsidRPr="00E90FAB">
        <w:rPr>
          <w:i/>
          <w:lang w:val="fr-FR"/>
        </w:rPr>
        <w:t>89 SA CNL-SUCAL NV v. HAG GF AG</w:t>
      </w:r>
      <w:r w:rsidRPr="00E90FAB">
        <w:rPr>
          <w:lang w:val="fr-FR"/>
        </w:rPr>
        <w:t xml:space="preserve"> [1990] ECR 1-371.</w:t>
      </w:r>
    </w:p>
  </w:footnote>
  <w:footnote w:id="104">
    <w:p w14:paraId="36538215" w14:textId="77777777" w:rsidR="003C568B" w:rsidRPr="00595E70" w:rsidRDefault="003C568B" w:rsidP="00351398">
      <w:pPr>
        <w:pStyle w:val="Footnote"/>
      </w:pPr>
      <w:r w:rsidRPr="00595E70">
        <w:rPr>
          <w:rStyle w:val="Footnoteanchor"/>
        </w:rPr>
        <w:footnoteRef/>
      </w:r>
      <w:r w:rsidRPr="00595E70">
        <w:t xml:space="preserve"> See for example A. Turk, </w:t>
      </w:r>
      <w:r w:rsidRPr="00595E70">
        <w:rPr>
          <w:i/>
        </w:rPr>
        <w:t>Ju</w:t>
      </w:r>
      <w:bookmarkStart w:id="28" w:name="btAsinTitle"/>
      <w:bookmarkEnd w:id="28"/>
      <w:r w:rsidRPr="00595E70">
        <w:rPr>
          <w:i/>
        </w:rPr>
        <w:t>dicial Review in EU Law</w:t>
      </w:r>
      <w:r w:rsidRPr="00595E70">
        <w:t xml:space="preserve"> (Cheltenham: E</w:t>
      </w:r>
      <w:bookmarkStart w:id="29" w:name="btAsinTitle1"/>
      <w:bookmarkEnd w:id="29"/>
      <w:r w:rsidRPr="00595E70">
        <w:t>lgar European Law 2010).</w:t>
      </w:r>
    </w:p>
  </w:footnote>
  <w:footnote w:id="105">
    <w:p w14:paraId="3CB23DAA" w14:textId="77777777" w:rsidR="003C568B" w:rsidRPr="00E34EA2" w:rsidRDefault="003C568B" w:rsidP="00351398">
      <w:pPr>
        <w:pStyle w:val="Footnote"/>
        <w:rPr>
          <w:lang w:val="nl-BE"/>
        </w:rPr>
      </w:pPr>
      <w:r w:rsidRPr="00595E70">
        <w:rPr>
          <w:rStyle w:val="Footnoteanchor"/>
        </w:rPr>
        <w:footnoteRef/>
      </w:r>
      <w:r w:rsidRPr="00E34EA2">
        <w:rPr>
          <w:lang w:val="nl-BE"/>
        </w:rPr>
        <w:t xml:space="preserve"> C- 192/73 </w:t>
      </w:r>
      <w:r w:rsidRPr="00E34EA2">
        <w:rPr>
          <w:i/>
          <w:lang w:val="nl-BE"/>
        </w:rPr>
        <w:t>Van Zuylen v HAG</w:t>
      </w:r>
      <w:r w:rsidRPr="00E34EA2">
        <w:rPr>
          <w:lang w:val="nl-BE"/>
        </w:rPr>
        <w:t xml:space="preserve"> [1974] ECR 731.</w:t>
      </w:r>
    </w:p>
  </w:footnote>
  <w:footnote w:id="106">
    <w:p w14:paraId="1CF47B07" w14:textId="77777777" w:rsidR="003C568B" w:rsidRPr="00595E70" w:rsidRDefault="003C568B" w:rsidP="00351398">
      <w:pPr>
        <w:pStyle w:val="Footnote"/>
      </w:pPr>
      <w:r w:rsidRPr="00595E70">
        <w:rPr>
          <w:rStyle w:val="Footnoteanchor"/>
        </w:rPr>
        <w:footnoteRef/>
      </w:r>
      <w:proofErr w:type="gramStart"/>
      <w:r w:rsidRPr="00595E70">
        <w:t xml:space="preserve">C-10/89 SA </w:t>
      </w:r>
      <w:r w:rsidRPr="00595E70">
        <w:rPr>
          <w:i/>
        </w:rPr>
        <w:t>CNL-SUCAL NV v. HAG GF AG</w:t>
      </w:r>
      <w:r w:rsidRPr="00595E70">
        <w:t xml:space="preserve"> [1990] ECR 1-371, Opinion of AG Jacobs, 16.</w:t>
      </w:r>
      <w:proofErr w:type="gramEnd"/>
    </w:p>
  </w:footnote>
  <w:footnote w:id="107">
    <w:p w14:paraId="6A206DF8" w14:textId="77777777" w:rsidR="003C568B" w:rsidRPr="00595E70" w:rsidRDefault="003C568B" w:rsidP="00351398">
      <w:pPr>
        <w:pStyle w:val="Footnote"/>
      </w:pPr>
      <w:r w:rsidRPr="00595E70">
        <w:rPr>
          <w:rStyle w:val="Footnoteanchor"/>
        </w:rPr>
        <w:footnoteRef/>
      </w:r>
      <w:proofErr w:type="gramStart"/>
      <w:r w:rsidRPr="00595E70">
        <w:rPr>
          <w:i/>
        </w:rPr>
        <w:t>ibid</w:t>
      </w:r>
      <w:r w:rsidRPr="00595E70">
        <w:t>, 21.</w:t>
      </w:r>
      <w:proofErr w:type="gramEnd"/>
    </w:p>
  </w:footnote>
  <w:footnote w:id="108">
    <w:p w14:paraId="7927A64C" w14:textId="761857E8" w:rsidR="003C568B" w:rsidRPr="00595E70" w:rsidRDefault="003C568B" w:rsidP="00351398">
      <w:pPr>
        <w:pStyle w:val="Footnote"/>
      </w:pPr>
      <w:r w:rsidRPr="00595E70">
        <w:rPr>
          <w:rStyle w:val="Footnoteanchor"/>
        </w:rPr>
        <w:footnoteRef/>
      </w:r>
      <w:r w:rsidRPr="00595E70">
        <w:t xml:space="preserve"> The only occurrence in the copyright sample is represented by </w:t>
      </w:r>
      <w:r w:rsidRPr="00595E70">
        <w:rPr>
          <w:i/>
        </w:rPr>
        <w:t xml:space="preserve">VG </w:t>
      </w:r>
      <w:proofErr w:type="spellStart"/>
      <w:r w:rsidRPr="00595E70">
        <w:rPr>
          <w:i/>
        </w:rPr>
        <w:t>Wort</w:t>
      </w:r>
      <w:proofErr w:type="spellEnd"/>
      <w:r w:rsidRPr="00595E70">
        <w:t xml:space="preserve">: C-457/11 </w:t>
      </w:r>
      <w:r w:rsidRPr="00595E70">
        <w:rPr>
          <w:i/>
        </w:rPr>
        <w:t xml:space="preserve">VG </w:t>
      </w:r>
      <w:proofErr w:type="spellStart"/>
      <w:r w:rsidRPr="00595E70">
        <w:rPr>
          <w:i/>
        </w:rPr>
        <w:t>Wort</w:t>
      </w:r>
      <w:proofErr w:type="spellEnd"/>
      <w:r w:rsidRPr="00595E70">
        <w:t xml:space="preserve"> [2013] ECR I-0000. Another three ca</w:t>
      </w:r>
      <w:r>
        <w:t>ses are included in the sample of</w:t>
      </w:r>
      <w:r w:rsidRPr="00595E70">
        <w:t xml:space="preserve"> the Database </w:t>
      </w:r>
      <w:r w:rsidRPr="00595E70">
        <w:rPr>
          <w:i/>
        </w:rPr>
        <w:t>sui generis</w:t>
      </w:r>
      <w:r w:rsidRPr="00595E70">
        <w:t xml:space="preserve"> Right.</w:t>
      </w:r>
    </w:p>
  </w:footnote>
  <w:footnote w:id="109">
    <w:p w14:paraId="01239E56" w14:textId="77777777" w:rsidR="003C568B" w:rsidRPr="00595E70" w:rsidRDefault="003C568B" w:rsidP="00351398">
      <w:pPr>
        <w:pStyle w:val="Footnote"/>
      </w:pPr>
      <w:r w:rsidRPr="00595E70">
        <w:rPr>
          <w:rStyle w:val="Footnoteanchor"/>
        </w:rPr>
        <w:footnoteRef/>
      </w:r>
      <w:proofErr w:type="gramStart"/>
      <w:r w:rsidRPr="00595E70">
        <w:t>C</w:t>
      </w:r>
      <w:r w:rsidRPr="00595E70">
        <w:noBreakHyphen/>
        <w:t xml:space="preserve"> 145/10 </w:t>
      </w:r>
      <w:proofErr w:type="spellStart"/>
      <w:r w:rsidRPr="00595E70">
        <w:rPr>
          <w:i/>
        </w:rPr>
        <w:t>Painer</w:t>
      </w:r>
      <w:proofErr w:type="spellEnd"/>
      <w:r w:rsidRPr="00595E70">
        <w:t xml:space="preserve"> [2011] ECDR 6.</w:t>
      </w:r>
      <w:proofErr w:type="gramEnd"/>
    </w:p>
  </w:footnote>
  <w:footnote w:id="110">
    <w:p w14:paraId="4E7DEBEF" w14:textId="77777777" w:rsidR="003C568B" w:rsidRPr="00595E70" w:rsidRDefault="003C568B" w:rsidP="00351398">
      <w:pPr>
        <w:pStyle w:val="Footnote"/>
      </w:pPr>
      <w:r w:rsidRPr="00595E70">
        <w:rPr>
          <w:rStyle w:val="Footnoteanchor"/>
        </w:rPr>
        <w:footnoteRef/>
      </w:r>
      <w:proofErr w:type="gramStart"/>
      <w:r w:rsidRPr="00595E70">
        <w:t>C</w:t>
      </w:r>
      <w:r w:rsidRPr="00595E70">
        <w:noBreakHyphen/>
        <w:t xml:space="preserve"> 145/10</w:t>
      </w:r>
      <w:proofErr w:type="gramEnd"/>
      <w:r w:rsidRPr="00595E70">
        <w:t xml:space="preserve"> </w:t>
      </w:r>
      <w:proofErr w:type="spellStart"/>
      <w:r w:rsidRPr="00595E70">
        <w:rPr>
          <w:i/>
        </w:rPr>
        <w:t>Painer</w:t>
      </w:r>
      <w:proofErr w:type="spellEnd"/>
      <w:r w:rsidRPr="00595E70">
        <w:t xml:space="preserve"> [2011] ECDR </w:t>
      </w:r>
      <w:r>
        <w:t xml:space="preserve">6.Opinion of AG </w:t>
      </w:r>
      <w:proofErr w:type="spellStart"/>
      <w:r>
        <w:t>Trstenjak</w:t>
      </w:r>
      <w:proofErr w:type="spellEnd"/>
      <w:r>
        <w:t>, 86.</w:t>
      </w:r>
    </w:p>
  </w:footnote>
  <w:footnote w:id="111">
    <w:p w14:paraId="4FD10D7C" w14:textId="77777777" w:rsidR="003C568B" w:rsidRPr="00404E51" w:rsidRDefault="003C568B" w:rsidP="00351398">
      <w:pPr>
        <w:pStyle w:val="Footnote"/>
      </w:pPr>
      <w:r>
        <w:rPr>
          <w:rStyle w:val="FootnoteReference"/>
        </w:rPr>
        <w:footnoteRef/>
      </w:r>
      <w:r>
        <w:t xml:space="preserve"> The example is included in the excerpt of the Codebook, APPENDIX II: </w:t>
      </w:r>
      <w:r w:rsidRPr="00595E70">
        <w:rPr>
          <w:rFonts w:eastAsia="Arial" w:cs="Arial"/>
        </w:rPr>
        <w:t xml:space="preserve">‘technological measures’ within the meaning of Article 6 of that directive may include measures incorporated </w:t>
      </w:r>
      <w:r w:rsidRPr="00404E51">
        <w:rPr>
          <w:rFonts w:eastAsia="Arial" w:cs="Arial"/>
          <w:u w:val="single"/>
        </w:rPr>
        <w:t>not only</w:t>
      </w:r>
      <w:r w:rsidRPr="00595E70">
        <w:rPr>
          <w:rFonts w:eastAsia="Arial" w:cs="Arial"/>
        </w:rPr>
        <w:t xml:space="preserve"> in protected works themselves </w:t>
      </w:r>
      <w:r w:rsidRPr="00404E51">
        <w:rPr>
          <w:rFonts w:eastAsia="Arial" w:cs="Arial"/>
          <w:u w:val="single"/>
        </w:rPr>
        <w:t xml:space="preserve">but also </w:t>
      </w:r>
      <w:r w:rsidRPr="00595E70">
        <w:rPr>
          <w:rFonts w:eastAsia="Arial" w:cs="Arial"/>
        </w:rPr>
        <w:t>in devices designed to allow access to those works</w:t>
      </w:r>
      <w:r>
        <w:rPr>
          <w:rFonts w:eastAsia="Arial" w:cs="Arial"/>
        </w:rPr>
        <w:t>” [emphasis added].</w:t>
      </w:r>
    </w:p>
  </w:footnote>
  <w:footnote w:id="112">
    <w:p w14:paraId="21FF354D" w14:textId="796C2799" w:rsidR="003C568B" w:rsidRPr="00404E51" w:rsidRDefault="003C568B" w:rsidP="00351398">
      <w:pPr>
        <w:pStyle w:val="Footnote"/>
      </w:pPr>
      <w:r>
        <w:rPr>
          <w:rStyle w:val="FootnoteReference"/>
        </w:rPr>
        <w:footnoteRef/>
      </w:r>
      <w:r>
        <w:t xml:space="preserve"> For example, in </w:t>
      </w:r>
      <w:proofErr w:type="spellStart"/>
      <w:r w:rsidRPr="00386BF1">
        <w:rPr>
          <w:i/>
        </w:rPr>
        <w:t>Svensson</w:t>
      </w:r>
      <w:proofErr w:type="spellEnd"/>
      <w:r>
        <w:t>, it is stated ‘</w:t>
      </w:r>
      <w:r w:rsidRPr="00595E70">
        <w:t>As regards the first of those criteria, that is, the existence of an ‘act of communication’, this must be construed broadly</w:t>
      </w:r>
      <w:r>
        <w:t xml:space="preserve">’ (See APPENDIX II). This text has been coded as ‘broad’. However, the Court in effect narrowed the ‘communication right’ of the right holder, by ruling that communication </w:t>
      </w:r>
      <w:r w:rsidRPr="00A40D42">
        <w:t>must be directed a</w:t>
      </w:r>
      <w:r>
        <w:t xml:space="preserve">t a new public (i.e. </w:t>
      </w:r>
      <w:r w:rsidRPr="00A40D42">
        <w:t>at a public that was not taken into account by the copyright holders at the time the initial communication was authorised</w:t>
      </w:r>
      <w:r>
        <w:t>)</w:t>
      </w:r>
      <w:r w:rsidRPr="00A40D42">
        <w:t>.</w:t>
      </w:r>
      <w:r>
        <w:t xml:space="preserve"> Thus hyperlinking remained permitted without seeking permission from the linked site. We capture this with an additional ‘outcome’ code (</w:t>
      </w:r>
      <w:r w:rsidRPr="00582368">
        <w:rPr>
          <w:iCs/>
        </w:rPr>
        <w:t>is the outcome of the judgment favourable to right holders or not</w:t>
      </w:r>
      <w:r>
        <w:rPr>
          <w:iCs/>
        </w:rPr>
        <w:t>).</w:t>
      </w:r>
    </w:p>
  </w:footnote>
  <w:footnote w:id="113">
    <w:p w14:paraId="56AC89FC" w14:textId="77777777" w:rsidR="003C568B" w:rsidRPr="00595E70" w:rsidRDefault="003C568B" w:rsidP="00351398">
      <w:pPr>
        <w:pStyle w:val="Footnote"/>
        <w:rPr>
          <w:i/>
        </w:rPr>
      </w:pPr>
      <w:r w:rsidRPr="00595E70">
        <w:rPr>
          <w:rStyle w:val="Footnoteanchor"/>
        </w:rPr>
        <w:footnoteRef/>
      </w:r>
      <w:r w:rsidRPr="00595E70">
        <w:t xml:space="preserve"> Directive 2001/29/EC of the European Parliament and of the Council of 22 May 2001 on the harmonisation of certain aspects of copyright and related rights in the information society</w:t>
      </w:r>
      <w:r w:rsidRPr="00595E70">
        <w:rPr>
          <w:i/>
        </w:rPr>
        <w:t>, Official Journal L 167, 22/06/2001 P. 0010 – 0019.</w:t>
      </w:r>
    </w:p>
  </w:footnote>
  <w:footnote w:id="114">
    <w:p w14:paraId="34367F89" w14:textId="4BC2616F" w:rsidR="003C568B" w:rsidRPr="00595E70" w:rsidRDefault="003C568B" w:rsidP="00351398">
      <w:pPr>
        <w:pStyle w:val="Footnote"/>
      </w:pPr>
      <w:r w:rsidRPr="00595E70">
        <w:rPr>
          <w:rStyle w:val="Footnoteanchor"/>
        </w:rPr>
        <w:footnoteRef/>
      </w:r>
      <w:r w:rsidRPr="00595E70">
        <w:t xml:space="preserve"> C</w:t>
      </w:r>
      <w:r w:rsidRPr="00595E70">
        <w:noBreakHyphen/>
        <w:t xml:space="preserve"> 607/11 </w:t>
      </w:r>
      <w:r w:rsidRPr="00595E70">
        <w:rPr>
          <w:i/>
        </w:rPr>
        <w:t>ITV Broadcasting</w:t>
      </w:r>
      <w:r w:rsidRPr="00595E70">
        <w:t xml:space="preserve"> [2011] EWHC </w:t>
      </w:r>
      <w:proofErr w:type="gramStart"/>
      <w:r w:rsidRPr="00595E70">
        <w:t>2977 ,</w:t>
      </w:r>
      <w:proofErr w:type="gramEnd"/>
      <w:r w:rsidRPr="00595E70">
        <w:t xml:space="preserve"> </w:t>
      </w:r>
      <w:r>
        <w:t>Judgment</w:t>
      </w:r>
      <w:r w:rsidRPr="00595E70">
        <w:t xml:space="preserve">, 20; C-277/10 – </w:t>
      </w:r>
      <w:proofErr w:type="spellStart"/>
      <w:r w:rsidRPr="00595E70">
        <w:rPr>
          <w:i/>
        </w:rPr>
        <w:t>Luksan</w:t>
      </w:r>
      <w:proofErr w:type="spellEnd"/>
      <w:r w:rsidRPr="00595E70">
        <w:t xml:space="preserve"> [2012] ECR I-0000, </w:t>
      </w:r>
      <w:r>
        <w:t>Judgment</w:t>
      </w:r>
      <w:r w:rsidRPr="00595E70">
        <w:t>, 66; C</w:t>
      </w:r>
      <w:r w:rsidRPr="00595E70">
        <w:noBreakHyphen/>
        <w:t xml:space="preserve"> 145/10 </w:t>
      </w:r>
      <w:proofErr w:type="spellStart"/>
      <w:r w:rsidRPr="00595E70">
        <w:rPr>
          <w:i/>
        </w:rPr>
        <w:t>Painer</w:t>
      </w:r>
      <w:proofErr w:type="spellEnd"/>
      <w:r w:rsidRPr="00595E70">
        <w:t xml:space="preserve"> [2011] ECDR 6, </w:t>
      </w:r>
      <w:r>
        <w:t>Judgment</w:t>
      </w:r>
      <w:r w:rsidRPr="00595E70">
        <w:t xml:space="preserve">, 107; C-462/09 - </w:t>
      </w:r>
      <w:proofErr w:type="spellStart"/>
      <w:r w:rsidRPr="00595E70">
        <w:rPr>
          <w:i/>
        </w:rPr>
        <w:t>Stichting</w:t>
      </w:r>
      <w:proofErr w:type="spellEnd"/>
      <w:r w:rsidRPr="00595E70">
        <w:rPr>
          <w:i/>
        </w:rPr>
        <w:t xml:space="preserve"> de </w:t>
      </w:r>
      <w:proofErr w:type="spellStart"/>
      <w:r w:rsidRPr="00595E70">
        <w:rPr>
          <w:i/>
        </w:rPr>
        <w:t>Thuiskopie</w:t>
      </w:r>
      <w:proofErr w:type="spellEnd"/>
      <w:r w:rsidRPr="00595E70">
        <w:t xml:space="preserve"> [2011] ECR 05</w:t>
      </w:r>
      <w:bookmarkStart w:id="31" w:name="content1"/>
      <w:bookmarkEnd w:id="31"/>
      <w:r w:rsidRPr="00595E70">
        <w:t xml:space="preserve">331, </w:t>
      </w:r>
      <w:r>
        <w:t>Judgment</w:t>
      </w:r>
      <w:r w:rsidRPr="00595E70">
        <w:t xml:space="preserve">, 32; C-393/09 </w:t>
      </w:r>
      <w:r w:rsidRPr="00595E70">
        <w:rPr>
          <w:i/>
        </w:rPr>
        <w:t xml:space="preserve">- </w:t>
      </w:r>
      <w:proofErr w:type="spellStart"/>
      <w:r w:rsidRPr="00595E70">
        <w:rPr>
          <w:i/>
        </w:rPr>
        <w:t>Bezpe</w:t>
      </w:r>
      <w:r w:rsidRPr="00595E70">
        <w:rPr>
          <w:rFonts w:eastAsia="MS Mincho"/>
          <w:i/>
        </w:rPr>
        <w:t>č</w:t>
      </w:r>
      <w:r w:rsidRPr="00595E70">
        <w:rPr>
          <w:i/>
        </w:rPr>
        <w:t>nostnísoftwarováasociace</w:t>
      </w:r>
      <w:proofErr w:type="spellEnd"/>
      <w:r w:rsidRPr="00595E70">
        <w:t xml:space="preserve"> [2007]  ECR  I</w:t>
      </w:r>
      <w:r w:rsidRPr="00595E70">
        <w:noBreakHyphen/>
        <w:t xml:space="preserve"> 4887, </w:t>
      </w:r>
      <w:r>
        <w:t>Judgment</w:t>
      </w:r>
      <w:r w:rsidRPr="00595E70">
        <w:t xml:space="preserve">, 54; C-5/08 - </w:t>
      </w:r>
      <w:proofErr w:type="spellStart"/>
      <w:r w:rsidRPr="00595E70">
        <w:rPr>
          <w:i/>
        </w:rPr>
        <w:t>Infopaq</w:t>
      </w:r>
      <w:proofErr w:type="spellEnd"/>
      <w:r w:rsidRPr="00595E70">
        <w:rPr>
          <w:i/>
        </w:rPr>
        <w:t xml:space="preserve"> International</w:t>
      </w:r>
      <w:r w:rsidRPr="00595E70">
        <w:t xml:space="preserve"> [2009] ECR I-6569, Opinion, 57; C</w:t>
      </w:r>
      <w:r w:rsidRPr="00595E70">
        <w:noBreakHyphen/>
        <w:t xml:space="preserve"> 467/08 </w:t>
      </w:r>
      <w:proofErr w:type="spellStart"/>
      <w:r w:rsidRPr="00595E70">
        <w:rPr>
          <w:i/>
        </w:rPr>
        <w:t>Padawan</w:t>
      </w:r>
      <w:proofErr w:type="spellEnd"/>
      <w:r w:rsidRPr="00595E70">
        <w:t xml:space="preserve"> [2010] ECR I-10055, Opinion, 42; C</w:t>
      </w:r>
      <w:r w:rsidRPr="00595E70">
        <w:noBreakHyphen/>
        <w:t xml:space="preserve"> 456/06 </w:t>
      </w:r>
      <w:r w:rsidRPr="00595E70">
        <w:rPr>
          <w:i/>
        </w:rPr>
        <w:t>Peek &amp;</w:t>
      </w:r>
      <w:r>
        <w:rPr>
          <w:i/>
        </w:rPr>
        <w:t xml:space="preserve"> </w:t>
      </w:r>
      <w:proofErr w:type="spellStart"/>
      <w:r w:rsidRPr="00595E70">
        <w:rPr>
          <w:i/>
        </w:rPr>
        <w:t>Cloppenburg</w:t>
      </w:r>
      <w:proofErr w:type="spellEnd"/>
      <w:r w:rsidRPr="00595E70">
        <w:rPr>
          <w:i/>
        </w:rPr>
        <w:t xml:space="preserve"> (</w:t>
      </w:r>
      <w:proofErr w:type="spellStart"/>
      <w:r w:rsidRPr="00595E70">
        <w:rPr>
          <w:i/>
        </w:rPr>
        <w:t>Cassina</w:t>
      </w:r>
      <w:proofErr w:type="spellEnd"/>
      <w:r w:rsidRPr="00595E70">
        <w:rPr>
          <w:i/>
        </w:rPr>
        <w:t>)</w:t>
      </w:r>
      <w:r w:rsidRPr="00595E70">
        <w:t xml:space="preserve"> [2008] EC</w:t>
      </w:r>
      <w:bookmarkStart w:id="32" w:name="content3"/>
      <w:bookmarkEnd w:id="32"/>
      <w:r w:rsidRPr="00595E70">
        <w:t xml:space="preserve">R I-02731, Opinion, 33; C-275/06 </w:t>
      </w:r>
      <w:proofErr w:type="spellStart"/>
      <w:r w:rsidRPr="00595E70">
        <w:rPr>
          <w:i/>
        </w:rPr>
        <w:t>Promusicae</w:t>
      </w:r>
      <w:proofErr w:type="spellEnd"/>
      <w:r w:rsidRPr="00595E70">
        <w:t xml:space="preserve"> [2008] ECR I-</w:t>
      </w:r>
      <w:bookmarkStart w:id="33" w:name="content4"/>
      <w:bookmarkEnd w:id="33"/>
      <w:r w:rsidRPr="00595E70">
        <w:t xml:space="preserve">00271, </w:t>
      </w:r>
      <w:r>
        <w:t>Judgment</w:t>
      </w:r>
      <w:r w:rsidRPr="00595E70">
        <w:t xml:space="preserve">, 36; C-306/05 – </w:t>
      </w:r>
      <w:r w:rsidRPr="00595E70">
        <w:rPr>
          <w:i/>
        </w:rPr>
        <w:t>SGAE</w:t>
      </w:r>
      <w:r w:rsidRPr="00595E70">
        <w:t xml:space="preserve"> [2006] ECR I-11519, Opinion of AG </w:t>
      </w:r>
      <w:proofErr w:type="spellStart"/>
      <w:r w:rsidRPr="00595E70">
        <w:t>Sharpston</w:t>
      </w:r>
      <w:proofErr w:type="spellEnd"/>
      <w:r w:rsidRPr="00595E70">
        <w:t xml:space="preserve">, 33 and 43, and </w:t>
      </w:r>
      <w:r>
        <w:t>Judgment</w:t>
      </w:r>
      <w:r w:rsidRPr="00595E70">
        <w:t xml:space="preserve"> 36; C-60/98 </w:t>
      </w:r>
      <w:r w:rsidRPr="00595E70">
        <w:rPr>
          <w:i/>
        </w:rPr>
        <w:t>Butterfly</w:t>
      </w:r>
      <w:r w:rsidRPr="00595E70">
        <w:t xml:space="preserve"> [1999] ECR I-03939, Opinion of AG </w:t>
      </w:r>
      <w:proofErr w:type="spellStart"/>
      <w:r w:rsidRPr="00595E70">
        <w:t>Cosmas</w:t>
      </w:r>
      <w:proofErr w:type="spellEnd"/>
      <w:r w:rsidRPr="00595E70">
        <w:t>, 31.</w:t>
      </w:r>
    </w:p>
  </w:footnote>
  <w:footnote w:id="115">
    <w:p w14:paraId="29C76F55" w14:textId="7C5B0B03" w:rsidR="003C568B" w:rsidRPr="00595E70" w:rsidRDefault="003C568B" w:rsidP="00351398">
      <w:pPr>
        <w:pStyle w:val="Footnote"/>
      </w:pPr>
      <w:r w:rsidRPr="00595E70">
        <w:rPr>
          <w:rStyle w:val="Footnoteanchor"/>
        </w:rPr>
        <w:footnoteRef/>
      </w:r>
      <w:r>
        <w:t xml:space="preserve"> For example, the concept of ‘</w:t>
      </w:r>
      <w:r w:rsidRPr="00595E70">
        <w:t>communication to the public</w:t>
      </w:r>
      <w:r>
        <w:t>’</w:t>
      </w:r>
      <w:r w:rsidRPr="00595E70">
        <w:t xml:space="preserve"> is given a broad interpretation based on the wording of Recital 23 of the </w:t>
      </w:r>
      <w:proofErr w:type="spellStart"/>
      <w:r w:rsidRPr="00595E70">
        <w:t>InfoSoc</w:t>
      </w:r>
      <w:proofErr w:type="spellEnd"/>
      <w:r w:rsidRPr="00595E70">
        <w:t xml:space="preserve"> Directive. </w:t>
      </w:r>
      <w:proofErr w:type="gramStart"/>
      <w:r w:rsidRPr="00595E70">
        <w:t xml:space="preserve">See for example C-306/05 - </w:t>
      </w:r>
      <w:r w:rsidRPr="00595E70">
        <w:rPr>
          <w:i/>
        </w:rPr>
        <w:t>SGAE</w:t>
      </w:r>
      <w:r w:rsidRPr="00595E70">
        <w:t xml:space="preserve"> [2006] ECR I-11519, Opinion of the AG </w:t>
      </w:r>
      <w:proofErr w:type="spellStart"/>
      <w:r w:rsidRPr="00595E70">
        <w:t>Sharpston</w:t>
      </w:r>
      <w:proofErr w:type="spellEnd"/>
      <w:r w:rsidRPr="00595E70">
        <w:t xml:space="preserve">, 26 and the </w:t>
      </w:r>
      <w:r>
        <w:t>Judgment</w:t>
      </w:r>
      <w:r w:rsidRPr="00595E70">
        <w:t>, 26.</w:t>
      </w:r>
      <w:proofErr w:type="gramEnd"/>
      <w:r w:rsidRPr="00595E70">
        <w:t xml:space="preserve"> See also C</w:t>
      </w:r>
      <w:r w:rsidRPr="00595E70">
        <w:noBreakHyphen/>
        <w:t xml:space="preserve"> 607/</w:t>
      </w:r>
      <w:r w:rsidRPr="00595E70">
        <w:rPr>
          <w:i/>
        </w:rPr>
        <w:t>11 ITV Broadcasting</w:t>
      </w:r>
      <w:r w:rsidRPr="00595E70">
        <w:t xml:space="preserve"> [2013] ECR I-0000, </w:t>
      </w:r>
      <w:r>
        <w:t>Judgment</w:t>
      </w:r>
      <w:r w:rsidRPr="00595E70">
        <w:t>, 20.</w:t>
      </w:r>
    </w:p>
  </w:footnote>
  <w:footnote w:id="116">
    <w:p w14:paraId="6306CB12" w14:textId="2E1A2332" w:rsidR="003C568B" w:rsidRPr="00F86733" w:rsidRDefault="003C568B" w:rsidP="00351398">
      <w:pPr>
        <w:pStyle w:val="Footnote"/>
      </w:pPr>
      <w:r w:rsidRPr="00256C2B">
        <w:rPr>
          <w:rStyle w:val="FootnoteReference"/>
        </w:rPr>
        <w:footnoteRef/>
      </w:r>
      <w:r w:rsidRPr="00256C2B">
        <w:t xml:space="preserve"> Please recall however that these broad and narrow interpretations are merely referring to the text of the document coded, not to the effects of the concept as modified by the final ruling.</w:t>
      </w:r>
    </w:p>
  </w:footnote>
  <w:footnote w:id="117">
    <w:p w14:paraId="16A95E6A" w14:textId="77777777" w:rsidR="003C568B" w:rsidRPr="00595E70" w:rsidRDefault="003C568B" w:rsidP="00351398">
      <w:pPr>
        <w:pStyle w:val="Footnote"/>
      </w:pPr>
      <w:r w:rsidRPr="00595E70">
        <w:rPr>
          <w:rStyle w:val="Footnoteanchor"/>
        </w:rPr>
        <w:footnoteRef/>
      </w:r>
      <w:r w:rsidRPr="00595E70">
        <w:t xml:space="preserve"> Three cases related to fair compensation (C</w:t>
      </w:r>
      <w:r w:rsidRPr="00595E70">
        <w:noBreakHyphen/>
        <w:t xml:space="preserve"> 431/09 </w:t>
      </w:r>
      <w:r w:rsidRPr="00595E70">
        <w:rPr>
          <w:i/>
        </w:rPr>
        <w:t xml:space="preserve">VG </w:t>
      </w:r>
      <w:proofErr w:type="spellStart"/>
      <w:r w:rsidRPr="00595E70">
        <w:rPr>
          <w:i/>
        </w:rPr>
        <w:t>Wort</w:t>
      </w:r>
      <w:proofErr w:type="spellEnd"/>
      <w:r w:rsidRPr="00595E70">
        <w:t xml:space="preserve"> [2011] ECR I-09363; C-403/08 C-521/11 </w:t>
      </w:r>
      <w:r w:rsidRPr="00595E70">
        <w:rPr>
          <w:i/>
        </w:rPr>
        <w:t>Amazon.com</w:t>
      </w:r>
      <w:r w:rsidRPr="00595E70">
        <w:t xml:space="preserve"> [2013] ECR I-0000; C</w:t>
      </w:r>
      <w:r w:rsidRPr="00595E70">
        <w:noBreakHyphen/>
        <w:t xml:space="preserve"> 518/08 </w:t>
      </w:r>
      <w:proofErr w:type="spellStart"/>
      <w:r w:rsidRPr="00595E70">
        <w:rPr>
          <w:i/>
        </w:rPr>
        <w:t>Stichting</w:t>
      </w:r>
      <w:proofErr w:type="spellEnd"/>
      <w:r w:rsidRPr="00595E70">
        <w:rPr>
          <w:i/>
        </w:rPr>
        <w:t xml:space="preserve"> de </w:t>
      </w:r>
      <w:proofErr w:type="spellStart"/>
      <w:r w:rsidRPr="00595E70">
        <w:rPr>
          <w:i/>
        </w:rPr>
        <w:t>Thuiskopie</w:t>
      </w:r>
      <w:proofErr w:type="spellEnd"/>
      <w:r w:rsidRPr="00595E70">
        <w:t xml:space="preserve"> [2011] ECR 05</w:t>
      </w:r>
      <w:bookmarkStart w:id="35" w:name="content2"/>
      <w:bookmarkEnd w:id="35"/>
      <w:r w:rsidRPr="00595E70">
        <w:t>331); one to distribution rights (C</w:t>
      </w:r>
      <w:r w:rsidRPr="00595E70">
        <w:noBreakHyphen/>
        <w:t xml:space="preserve"> 5/08 </w:t>
      </w:r>
      <w:r w:rsidRPr="00595E70">
        <w:rPr>
          <w:i/>
        </w:rPr>
        <w:t>Donner</w:t>
      </w:r>
      <w:r w:rsidRPr="00595E70">
        <w:t xml:space="preserve"> [2009] ECR I-06569); one to technological protection measures (C-355/12 </w:t>
      </w:r>
      <w:r w:rsidRPr="00595E70">
        <w:rPr>
          <w:i/>
        </w:rPr>
        <w:t xml:space="preserve">Nintendo </w:t>
      </w:r>
      <w:proofErr w:type="spellStart"/>
      <w:r w:rsidRPr="00595E70">
        <w:rPr>
          <w:i/>
        </w:rPr>
        <w:t>e.a</w:t>
      </w:r>
      <w:proofErr w:type="spellEnd"/>
      <w:r w:rsidRPr="00595E70">
        <w:rPr>
          <w:i/>
        </w:rPr>
        <w:t xml:space="preserve">. </w:t>
      </w:r>
      <w:r w:rsidRPr="00595E70">
        <w:t>(ECLI</w:t>
      </w:r>
      <w:proofErr w:type="gramStart"/>
      <w:r w:rsidRPr="00595E70">
        <w:t>:EU:C:2014:25</w:t>
      </w:r>
      <w:proofErr w:type="gramEnd"/>
      <w:r w:rsidRPr="00595E70">
        <w:t>)); and four to communication to the public C</w:t>
      </w:r>
      <w:r w:rsidRPr="00595E70">
        <w:noBreakHyphen/>
        <w:t xml:space="preserve"> 393/09 ITV Broadcasting [2010] I-13971; C</w:t>
      </w:r>
      <w:r w:rsidRPr="00595E70">
        <w:noBreakHyphen/>
        <w:t xml:space="preserve"> 128/11 SGAE [2006] ECR I-11519, C</w:t>
      </w:r>
      <w:r w:rsidRPr="00595E70">
        <w:rPr>
          <w:rFonts w:ascii="MS Mincho" w:eastAsia="MS Mincho" w:hAnsi="MS Mincho" w:cs="MS Mincho" w:hint="eastAsia"/>
        </w:rPr>
        <w:t>‑</w:t>
      </w:r>
      <w:r w:rsidRPr="00595E70">
        <w:t xml:space="preserve">351/12 OSA – </w:t>
      </w:r>
      <w:proofErr w:type="spellStart"/>
      <w:r w:rsidRPr="00595E70">
        <w:t>Ochrannýsvazautorský</w:t>
      </w:r>
      <w:proofErr w:type="spellEnd"/>
      <w:r w:rsidRPr="00595E70">
        <w:t xml:space="preserve"> pro </w:t>
      </w:r>
      <w:proofErr w:type="spellStart"/>
      <w:r w:rsidRPr="00595E70">
        <w:t>práva</w:t>
      </w:r>
      <w:proofErr w:type="spellEnd"/>
      <w:r w:rsidRPr="00595E70">
        <w:t xml:space="preserve"> k </w:t>
      </w:r>
      <w:proofErr w:type="spellStart"/>
      <w:r w:rsidRPr="00595E70">
        <w:t>dílůmhudebnímo.s</w:t>
      </w:r>
      <w:proofErr w:type="spellEnd"/>
      <w:r w:rsidRPr="00595E70">
        <w:t xml:space="preserve">. </w:t>
      </w:r>
      <w:proofErr w:type="gramStart"/>
      <w:r w:rsidRPr="00595E70">
        <w:rPr>
          <w:lang w:val="en-US"/>
        </w:rPr>
        <w:t>[2014] EUECJ Case 351/12</w:t>
      </w:r>
      <w:r w:rsidRPr="00595E70">
        <w:t xml:space="preserve">; C-466/12 </w:t>
      </w:r>
      <w:proofErr w:type="spellStart"/>
      <w:r w:rsidRPr="00595E70">
        <w:t>Svensson</w:t>
      </w:r>
      <w:proofErr w:type="spellEnd"/>
      <w:r w:rsidRPr="00595E70">
        <w:t xml:space="preserve"> and others [2014] ECDR 9).</w:t>
      </w:r>
      <w:proofErr w:type="gramEnd"/>
      <w:r w:rsidRPr="00595E70">
        <w:t xml:space="preserve"> Narrow interpretation was given to four cases related to the communication to the public (C-467/08 </w:t>
      </w:r>
      <w:proofErr w:type="spellStart"/>
      <w:r w:rsidRPr="00595E70">
        <w:rPr>
          <w:i/>
        </w:rPr>
        <w:t>Circul</w:t>
      </w:r>
      <w:proofErr w:type="spellEnd"/>
      <w:r w:rsidRPr="00595E70">
        <w:rPr>
          <w:i/>
        </w:rPr>
        <w:t xml:space="preserve"> Globus </w:t>
      </w:r>
      <w:proofErr w:type="spellStart"/>
      <w:r w:rsidRPr="00595E70">
        <w:rPr>
          <w:i/>
        </w:rPr>
        <w:t>Bucure</w:t>
      </w:r>
      <w:r w:rsidRPr="00595E70">
        <w:rPr>
          <w:rFonts w:eastAsia="MS Mincho"/>
          <w:i/>
        </w:rPr>
        <w:t>ş</w:t>
      </w:r>
      <w:r w:rsidRPr="00595E70">
        <w:rPr>
          <w:i/>
        </w:rPr>
        <w:t>ti</w:t>
      </w:r>
      <w:proofErr w:type="spellEnd"/>
      <w:r w:rsidRPr="00595E70">
        <w:t xml:space="preserve"> [2010] ECR I-10055; C</w:t>
      </w:r>
      <w:r w:rsidRPr="00595E70">
        <w:noBreakHyphen/>
        <w:t xml:space="preserve"> 456/</w:t>
      </w:r>
      <w:r w:rsidRPr="00595E70">
        <w:rPr>
          <w:i/>
        </w:rPr>
        <w:t>06 Peek &amp;</w:t>
      </w:r>
      <w:proofErr w:type="spellStart"/>
      <w:r w:rsidRPr="00595E70">
        <w:rPr>
          <w:i/>
        </w:rPr>
        <w:t>Cloppenburg</w:t>
      </w:r>
      <w:proofErr w:type="spellEnd"/>
      <w:r w:rsidRPr="00595E70">
        <w:t xml:space="preserve"> [2008] I-02731; C-403/08 - </w:t>
      </w:r>
      <w:r w:rsidRPr="00595E70">
        <w:rPr>
          <w:i/>
        </w:rPr>
        <w:t>Football Association Premier League and Others</w:t>
      </w:r>
      <w:r w:rsidRPr="00595E70">
        <w:t xml:space="preserve"> and C429/08 </w:t>
      </w:r>
      <w:r w:rsidRPr="00595E70">
        <w:rPr>
          <w:i/>
        </w:rPr>
        <w:t>Murphy</w:t>
      </w:r>
      <w:r w:rsidRPr="00595E70">
        <w:t xml:space="preserve"> [2011] ECR I-09083; C-457/11 </w:t>
      </w:r>
      <w:r w:rsidRPr="00595E70">
        <w:rPr>
          <w:i/>
        </w:rPr>
        <w:t xml:space="preserve">SCF v. Del </w:t>
      </w:r>
      <w:proofErr w:type="spellStart"/>
      <w:r w:rsidRPr="00595E70">
        <w:rPr>
          <w:i/>
        </w:rPr>
        <w:t>Corso</w:t>
      </w:r>
      <w:proofErr w:type="spellEnd"/>
      <w:r w:rsidRPr="00595E70">
        <w:t xml:space="preserve"> (ECLI</w:t>
      </w:r>
      <w:proofErr w:type="gramStart"/>
      <w:r w:rsidRPr="00595E70">
        <w:t>:EU:C:2012:140</w:t>
      </w:r>
      <w:proofErr w:type="gramEnd"/>
      <w:r w:rsidRPr="00595E70">
        <w:t>)); and one case related to fair compensation (C</w:t>
      </w:r>
      <w:r w:rsidRPr="00595E70">
        <w:noBreakHyphen/>
        <w:t xml:space="preserve"> 240/07 </w:t>
      </w:r>
      <w:proofErr w:type="spellStart"/>
      <w:r w:rsidRPr="00595E70">
        <w:rPr>
          <w:i/>
        </w:rPr>
        <w:t>Padawan</w:t>
      </w:r>
      <w:proofErr w:type="spellEnd"/>
      <w:r w:rsidRPr="00595E70">
        <w:t xml:space="preserve"> [2010] ECR I-10055).</w:t>
      </w:r>
    </w:p>
  </w:footnote>
  <w:footnote w:id="118">
    <w:p w14:paraId="7A97B90F" w14:textId="77777777" w:rsidR="003C568B" w:rsidRPr="00595E70" w:rsidRDefault="003C568B" w:rsidP="00351398">
      <w:pPr>
        <w:pStyle w:val="Footnote"/>
      </w:pPr>
      <w:r w:rsidRPr="00595E70">
        <w:rPr>
          <w:rStyle w:val="Footnoteanchor"/>
        </w:rPr>
        <w:footnoteRef/>
      </w:r>
      <w:r w:rsidRPr="00595E70">
        <w:t xml:space="preserve"> The exception for quotation and judiciary proceedings (Art 5.2(</w:t>
      </w:r>
      <w:proofErr w:type="spellStart"/>
      <w:r w:rsidRPr="00595E70">
        <w:t>d</w:t>
      </w:r>
      <w:proofErr w:type="gramStart"/>
      <w:r w:rsidRPr="00595E70">
        <w:t>,e</w:t>
      </w:r>
      <w:proofErr w:type="spellEnd"/>
      <w:proofErr w:type="gramEnd"/>
      <w:r w:rsidRPr="00595E70">
        <w:t>))( C</w:t>
      </w:r>
      <w:r w:rsidRPr="00595E70">
        <w:noBreakHyphen/>
        <w:t xml:space="preserve"> 461/10 </w:t>
      </w:r>
      <w:proofErr w:type="spellStart"/>
      <w:r w:rsidRPr="00595E70">
        <w:rPr>
          <w:i/>
        </w:rPr>
        <w:t>Painer</w:t>
      </w:r>
      <w:proofErr w:type="spellEnd"/>
      <w:r w:rsidRPr="00595E70">
        <w:t xml:space="preserve"> [2011] ECDR 6); the exception of transient reproduction (Art 5.1)(C</w:t>
      </w:r>
      <w:r w:rsidRPr="00595E70">
        <w:noBreakHyphen/>
        <w:t xml:space="preserve"> 168/09 </w:t>
      </w:r>
      <w:proofErr w:type="spellStart"/>
      <w:r w:rsidRPr="00595E70">
        <w:rPr>
          <w:i/>
        </w:rPr>
        <w:t>Infopaq</w:t>
      </w:r>
      <w:proofErr w:type="spellEnd"/>
      <w:r w:rsidRPr="00595E70">
        <w:rPr>
          <w:i/>
        </w:rPr>
        <w:t xml:space="preserve"> International</w:t>
      </w:r>
      <w:r w:rsidRPr="00595E70">
        <w:t xml:space="preserve"> [2009] ECR I-6569); and of the international exhaustion of copyright (Art. 4.2) (C</w:t>
      </w:r>
      <w:r w:rsidRPr="00595E70">
        <w:noBreakHyphen/>
        <w:t xml:space="preserve"> 462/09 </w:t>
      </w:r>
      <w:proofErr w:type="spellStart"/>
      <w:r w:rsidRPr="00595E70">
        <w:rPr>
          <w:i/>
        </w:rPr>
        <w:t>Laserdisken</w:t>
      </w:r>
      <w:proofErr w:type="spellEnd"/>
      <w:r w:rsidRPr="00595E70">
        <w:t xml:space="preserve"> [2011] ECR I-05331). A broad interpretation instead was given to the concept of ‘own facilities’ related to the exception of ephemeral recording for broadcasting organizations (Art 5.2(d)) (C</w:t>
      </w:r>
      <w:r w:rsidRPr="00595E70">
        <w:noBreakHyphen/>
        <w:t xml:space="preserve"> 271/</w:t>
      </w:r>
      <w:r w:rsidRPr="00595E70">
        <w:rPr>
          <w:i/>
        </w:rPr>
        <w:t xml:space="preserve">10 DR and TV2 </w:t>
      </w:r>
      <w:proofErr w:type="spellStart"/>
      <w:r w:rsidRPr="00595E70">
        <w:rPr>
          <w:i/>
        </w:rPr>
        <w:t>Danmark</w:t>
      </w:r>
      <w:proofErr w:type="spellEnd"/>
      <w:r w:rsidRPr="00595E70">
        <w:t xml:space="preserve"> (ECLI</w:t>
      </w:r>
      <w:proofErr w:type="gramStart"/>
      <w:r w:rsidRPr="00595E70">
        <w:t>:EU:C:2012:244</w:t>
      </w:r>
      <w:proofErr w:type="gramEnd"/>
      <w:r w:rsidRPr="00595E70">
        <w:t xml:space="preserve">)); to the concept of transient reproduction (C-403/08 - </w:t>
      </w:r>
      <w:r w:rsidRPr="00595E70">
        <w:rPr>
          <w:i/>
        </w:rPr>
        <w:t>Football Association Premier League and Others and C429/08 Murphy</w:t>
      </w:r>
      <w:r w:rsidRPr="00595E70">
        <w:t xml:space="preserve"> [2011] ECR I-09083); and to community exhaustion (C-61/97 FDV v. </w:t>
      </w:r>
      <w:proofErr w:type="spellStart"/>
      <w:r w:rsidRPr="00595E70">
        <w:rPr>
          <w:i/>
        </w:rPr>
        <w:t>Laserdisken</w:t>
      </w:r>
      <w:proofErr w:type="spellEnd"/>
      <w:r w:rsidRPr="00595E70">
        <w:t xml:space="preserve"> [1998] ECR I-05171)</w:t>
      </w:r>
    </w:p>
  </w:footnote>
  <w:footnote w:id="119">
    <w:p w14:paraId="29A36944" w14:textId="1AB43DC4" w:rsidR="003C568B" w:rsidRPr="00595E70" w:rsidRDefault="003C568B" w:rsidP="00351398">
      <w:pPr>
        <w:pStyle w:val="Footnote"/>
      </w:pPr>
      <w:r w:rsidRPr="00595E70">
        <w:rPr>
          <w:rStyle w:val="Footnoteanchor"/>
        </w:rPr>
        <w:footnoteRef/>
      </w:r>
      <w:r>
        <w:tab/>
      </w:r>
      <w:proofErr w:type="gramStart"/>
      <w:r w:rsidRPr="00595E70">
        <w:t>C</w:t>
      </w:r>
      <w:r w:rsidRPr="00595E70">
        <w:noBreakHyphen/>
        <w:t xml:space="preserve">306/05 </w:t>
      </w:r>
      <w:r w:rsidRPr="00595E70">
        <w:rPr>
          <w:i/>
        </w:rPr>
        <w:t>SGAE</w:t>
      </w:r>
      <w:r w:rsidRPr="00595E70">
        <w:t xml:space="preserve"> [2006] ECR I-11519.</w:t>
      </w:r>
      <w:proofErr w:type="gramEnd"/>
    </w:p>
  </w:footnote>
  <w:footnote w:id="120">
    <w:p w14:paraId="7D0A1012" w14:textId="253783A9" w:rsidR="003C568B" w:rsidRPr="00595E70" w:rsidRDefault="003C568B" w:rsidP="00351398">
      <w:pPr>
        <w:pStyle w:val="Footnote"/>
      </w:pPr>
      <w:r w:rsidRPr="00595E70">
        <w:rPr>
          <w:rStyle w:val="Footnoteanchor"/>
        </w:rPr>
        <w:footnoteRef/>
      </w:r>
      <w:r>
        <w:tab/>
      </w:r>
      <w:r w:rsidRPr="00595E70">
        <w:t>C</w:t>
      </w:r>
      <w:r w:rsidRPr="00595E70">
        <w:noBreakHyphen/>
        <w:t xml:space="preserve"> 360/10 </w:t>
      </w:r>
      <w:proofErr w:type="spellStart"/>
      <w:r w:rsidRPr="00595E70">
        <w:rPr>
          <w:i/>
        </w:rPr>
        <w:t>Egeda</w:t>
      </w:r>
      <w:proofErr w:type="spellEnd"/>
      <w:r w:rsidRPr="00595E70">
        <w:t xml:space="preserve"> (ECLI</w:t>
      </w:r>
      <w:proofErr w:type="gramStart"/>
      <w:r w:rsidRPr="00595E70">
        <w:t>:EU:C:2012:85</w:t>
      </w:r>
      <w:proofErr w:type="gramEnd"/>
      <w:r w:rsidRPr="00595E70">
        <w:rPr>
          <w:rFonts w:ascii="Tahoma" w:hAnsi="Tahoma" w:cs="Tahoma"/>
          <w:sz w:val="18"/>
          <w:szCs w:val="18"/>
          <w:shd w:val="clear" w:color="auto" w:fill="FFFFFF"/>
        </w:rPr>
        <w:t>)</w:t>
      </w:r>
      <w:r w:rsidRPr="00595E70">
        <w:t xml:space="preserve">, </w:t>
      </w:r>
      <w:r>
        <w:t>Judgment</w:t>
      </w:r>
      <w:r w:rsidRPr="00595E70">
        <w:t>, 55.1.</w:t>
      </w:r>
    </w:p>
  </w:footnote>
  <w:footnote w:id="121">
    <w:p w14:paraId="06176F7D" w14:textId="0FB250D0" w:rsidR="003C568B" w:rsidRPr="00595E70" w:rsidRDefault="003C568B" w:rsidP="00351398">
      <w:pPr>
        <w:pStyle w:val="Footnote"/>
      </w:pPr>
      <w:r w:rsidRPr="00595E70">
        <w:rPr>
          <w:rStyle w:val="Footnoteanchor"/>
        </w:rPr>
        <w:footnoteRef/>
      </w:r>
      <w:r>
        <w:rPr>
          <w:i/>
        </w:rPr>
        <w:tab/>
      </w:r>
      <w:proofErr w:type="gramStart"/>
      <w:r w:rsidRPr="00595E70">
        <w:rPr>
          <w:i/>
        </w:rPr>
        <w:t>ibid</w:t>
      </w:r>
      <w:r w:rsidRPr="00595E70">
        <w:t xml:space="preserve">, </w:t>
      </w:r>
      <w:r>
        <w:t>Judgment</w:t>
      </w:r>
      <w:r w:rsidRPr="00595E70">
        <w:t xml:space="preserve"> at 36.</w:t>
      </w:r>
      <w:proofErr w:type="gramEnd"/>
    </w:p>
  </w:footnote>
  <w:footnote w:id="122">
    <w:p w14:paraId="4C1CC615" w14:textId="42F9E7CB" w:rsidR="003C568B" w:rsidRPr="00595E70" w:rsidRDefault="003C568B" w:rsidP="00351398">
      <w:pPr>
        <w:pStyle w:val="Footnote"/>
      </w:pPr>
      <w:r w:rsidRPr="00595E70">
        <w:rPr>
          <w:rStyle w:val="Footnoteanchor"/>
        </w:rPr>
        <w:footnoteRef/>
      </w:r>
      <w:r>
        <w:tab/>
      </w:r>
      <w:proofErr w:type="gramStart"/>
      <w:r w:rsidRPr="00595E70">
        <w:t xml:space="preserve">C-431/09 - </w:t>
      </w:r>
      <w:r w:rsidRPr="00595E70">
        <w:rPr>
          <w:i/>
        </w:rPr>
        <w:t xml:space="preserve">Airfield and Canal </w:t>
      </w:r>
      <w:proofErr w:type="spellStart"/>
      <w:r w:rsidRPr="00595E70">
        <w:rPr>
          <w:i/>
        </w:rPr>
        <w:t>Digitaal</w:t>
      </w:r>
      <w:proofErr w:type="spellEnd"/>
      <w:r w:rsidRPr="00595E70">
        <w:t xml:space="preserve"> [2012] ECDR 3.</w:t>
      </w:r>
      <w:proofErr w:type="gramEnd"/>
    </w:p>
  </w:footnote>
  <w:footnote w:id="123">
    <w:p w14:paraId="06E7EBE6" w14:textId="57503FD7" w:rsidR="003C568B" w:rsidRPr="00595E70" w:rsidRDefault="003C568B" w:rsidP="00351398">
      <w:pPr>
        <w:pStyle w:val="Footnote"/>
      </w:pPr>
      <w:r w:rsidRPr="00595E70">
        <w:rPr>
          <w:rStyle w:val="Footnoteanchor"/>
        </w:rPr>
        <w:footnoteRef/>
      </w:r>
      <w:r>
        <w:tab/>
      </w:r>
      <w:proofErr w:type="gramStart"/>
      <w:r w:rsidRPr="00595E70">
        <w:t xml:space="preserve">C-403/08 - </w:t>
      </w:r>
      <w:r w:rsidRPr="00595E70">
        <w:rPr>
          <w:i/>
        </w:rPr>
        <w:t>Football Association Premier League and Others</w:t>
      </w:r>
      <w:r w:rsidRPr="00595E70">
        <w:t xml:space="preserve"> joint with C-429/08 </w:t>
      </w:r>
      <w:r w:rsidRPr="00595E70">
        <w:rPr>
          <w:i/>
        </w:rPr>
        <w:t>Murphy</w:t>
      </w:r>
      <w:r w:rsidRPr="00595E70">
        <w:t xml:space="preserve"> [2011] ECR I-09083.</w:t>
      </w:r>
      <w:proofErr w:type="gramEnd"/>
    </w:p>
  </w:footnote>
  <w:footnote w:id="124">
    <w:p w14:paraId="0A5188FC" w14:textId="7B43FAEF" w:rsidR="003C568B" w:rsidRPr="00595E70" w:rsidRDefault="003C568B" w:rsidP="00351398">
      <w:pPr>
        <w:pStyle w:val="Footnote"/>
        <w:rPr>
          <w:lang w:val="it-IT"/>
        </w:rPr>
      </w:pPr>
      <w:r w:rsidRPr="00595E70">
        <w:rPr>
          <w:rStyle w:val="Footnoteanchor"/>
        </w:rPr>
        <w:footnoteRef/>
      </w:r>
      <w:r>
        <w:rPr>
          <w:lang w:val="it-IT"/>
        </w:rPr>
        <w:tab/>
      </w:r>
      <w:r w:rsidRPr="00595E70">
        <w:rPr>
          <w:lang w:val="it-IT"/>
        </w:rPr>
        <w:t xml:space="preserve">C-135/10 </w:t>
      </w:r>
      <w:r w:rsidRPr="00595E70">
        <w:rPr>
          <w:i/>
          <w:lang w:val="it-IT"/>
        </w:rPr>
        <w:t>SCF v. Del Corso</w:t>
      </w:r>
      <w:r w:rsidRPr="00595E70">
        <w:rPr>
          <w:lang w:val="it-IT"/>
        </w:rPr>
        <w:t xml:space="preserve"> (ECLI</w:t>
      </w:r>
      <w:proofErr w:type="gramStart"/>
      <w:r w:rsidRPr="00595E70">
        <w:rPr>
          <w:lang w:val="it-IT"/>
        </w:rPr>
        <w:t>:</w:t>
      </w:r>
      <w:proofErr w:type="gramEnd"/>
      <w:r w:rsidRPr="00595E70">
        <w:rPr>
          <w:lang w:val="it-IT"/>
        </w:rPr>
        <w:t>EU:C:2012:140).</w:t>
      </w:r>
    </w:p>
  </w:footnote>
  <w:footnote w:id="125">
    <w:p w14:paraId="7500E863" w14:textId="2770AEBB" w:rsidR="003C568B" w:rsidRPr="00595E70" w:rsidRDefault="003C568B" w:rsidP="00351398">
      <w:pPr>
        <w:pStyle w:val="Footnote"/>
      </w:pPr>
      <w:r w:rsidRPr="00595E70">
        <w:rPr>
          <w:rStyle w:val="Footnoteanchor"/>
        </w:rPr>
        <w:footnoteRef/>
      </w:r>
      <w:r>
        <w:tab/>
        <w:t>C-</w:t>
      </w:r>
      <w:r w:rsidRPr="00595E70">
        <w:t xml:space="preserve">607/11 </w:t>
      </w:r>
      <w:r w:rsidRPr="00595E70">
        <w:rPr>
          <w:i/>
        </w:rPr>
        <w:t>Phonographic Performance</w:t>
      </w:r>
      <w:r w:rsidRPr="00595E70">
        <w:t xml:space="preserve"> [2013] EUECJ Case 607/11.</w:t>
      </w:r>
    </w:p>
  </w:footnote>
  <w:footnote w:id="126">
    <w:p w14:paraId="3EE00AB0" w14:textId="7FB0D0C7" w:rsidR="003C568B" w:rsidRPr="00595E70" w:rsidRDefault="003C568B" w:rsidP="00351398">
      <w:pPr>
        <w:pStyle w:val="Footnote"/>
        <w:rPr>
          <w:lang w:val="it-IT"/>
        </w:rPr>
      </w:pPr>
      <w:r w:rsidRPr="00595E70">
        <w:rPr>
          <w:rStyle w:val="Footnoteanchor"/>
        </w:rPr>
        <w:footnoteRef/>
      </w:r>
      <w:r>
        <w:rPr>
          <w:lang w:val="it-IT"/>
        </w:rPr>
        <w:tab/>
        <w:t>C-</w:t>
      </w:r>
      <w:r w:rsidRPr="00595E70">
        <w:rPr>
          <w:lang w:val="it-IT"/>
        </w:rPr>
        <w:t xml:space="preserve">283/10 </w:t>
      </w:r>
      <w:proofErr w:type="spellStart"/>
      <w:r w:rsidRPr="00595E70">
        <w:rPr>
          <w:i/>
          <w:lang w:val="it-IT"/>
        </w:rPr>
        <w:t>Circul</w:t>
      </w:r>
      <w:proofErr w:type="spellEnd"/>
      <w:r w:rsidRPr="00595E70">
        <w:rPr>
          <w:i/>
          <w:lang w:val="it-IT"/>
        </w:rPr>
        <w:t xml:space="preserve"> </w:t>
      </w:r>
      <w:proofErr w:type="spellStart"/>
      <w:r w:rsidRPr="00595E70">
        <w:rPr>
          <w:i/>
          <w:lang w:val="it-IT"/>
        </w:rPr>
        <w:t>Globus</w:t>
      </w:r>
      <w:proofErr w:type="spellEnd"/>
      <w:r w:rsidRPr="00595E70">
        <w:rPr>
          <w:i/>
          <w:lang w:val="it-IT"/>
        </w:rPr>
        <w:t xml:space="preserve"> </w:t>
      </w:r>
      <w:proofErr w:type="spellStart"/>
      <w:r w:rsidRPr="00595E70">
        <w:rPr>
          <w:i/>
          <w:lang w:val="it-IT"/>
        </w:rPr>
        <w:t>Bucureşti</w:t>
      </w:r>
      <w:proofErr w:type="spellEnd"/>
      <w:r w:rsidRPr="00595E70">
        <w:rPr>
          <w:lang w:val="it-IT"/>
        </w:rPr>
        <w:t xml:space="preserve"> [2010] ECR I-10055.</w:t>
      </w:r>
    </w:p>
  </w:footnote>
  <w:footnote w:id="127">
    <w:p w14:paraId="3406CAFE" w14:textId="4E54C9DE" w:rsidR="003C568B" w:rsidRPr="00595E70" w:rsidRDefault="003C568B" w:rsidP="00351398">
      <w:pPr>
        <w:pStyle w:val="Footnote"/>
        <w:rPr>
          <w:lang w:val="it-IT"/>
        </w:rPr>
      </w:pPr>
      <w:r w:rsidRPr="00595E70">
        <w:rPr>
          <w:rStyle w:val="Footnoteanchor"/>
        </w:rPr>
        <w:footnoteRef/>
      </w:r>
      <w:r>
        <w:rPr>
          <w:lang w:val="it-IT"/>
        </w:rPr>
        <w:tab/>
        <w:t>C-</w:t>
      </w:r>
      <w:r w:rsidRPr="00595E70">
        <w:rPr>
          <w:lang w:val="it-IT"/>
        </w:rPr>
        <w:t xml:space="preserve">607/11 </w:t>
      </w:r>
      <w:r w:rsidRPr="00595E70">
        <w:rPr>
          <w:i/>
          <w:lang w:val="it-IT"/>
        </w:rPr>
        <w:t xml:space="preserve">ITV </w:t>
      </w:r>
      <w:proofErr w:type="spellStart"/>
      <w:proofErr w:type="gramStart"/>
      <w:r w:rsidRPr="00595E70">
        <w:rPr>
          <w:i/>
          <w:lang w:val="it-IT"/>
        </w:rPr>
        <w:t>Broadcasting</w:t>
      </w:r>
      <w:proofErr w:type="spellEnd"/>
      <w:proofErr w:type="gramEnd"/>
      <w:r w:rsidRPr="00595E70">
        <w:rPr>
          <w:lang w:val="it-IT"/>
        </w:rPr>
        <w:t xml:space="preserve"> [2010] I-13971.</w:t>
      </w:r>
    </w:p>
  </w:footnote>
  <w:footnote w:id="128">
    <w:p w14:paraId="03A64FF0" w14:textId="4BDD08F9" w:rsidR="003C568B" w:rsidRPr="00595E70" w:rsidRDefault="003C568B" w:rsidP="00351398">
      <w:pPr>
        <w:pStyle w:val="Footnote"/>
        <w:rPr>
          <w:lang w:val="it-IT"/>
        </w:rPr>
      </w:pPr>
      <w:r w:rsidRPr="00595E70">
        <w:rPr>
          <w:rStyle w:val="Footnoteanchor"/>
        </w:rPr>
        <w:footnoteRef/>
      </w:r>
      <w:r>
        <w:rPr>
          <w:lang w:val="it-IT"/>
        </w:rPr>
        <w:tab/>
      </w:r>
      <w:r w:rsidRPr="00595E70">
        <w:rPr>
          <w:lang w:val="it-IT"/>
        </w:rPr>
        <w:t xml:space="preserve">C-351/12 OSA – </w:t>
      </w:r>
      <w:proofErr w:type="spellStart"/>
      <w:r w:rsidRPr="00595E70">
        <w:rPr>
          <w:i/>
          <w:lang w:val="it-IT"/>
        </w:rPr>
        <w:t>Ochranný</w:t>
      </w:r>
      <w:proofErr w:type="spellEnd"/>
      <w:r w:rsidRPr="00595E70">
        <w:rPr>
          <w:i/>
          <w:lang w:val="it-IT"/>
        </w:rPr>
        <w:t xml:space="preserve"> </w:t>
      </w:r>
      <w:proofErr w:type="spellStart"/>
      <w:r w:rsidRPr="00595E70">
        <w:rPr>
          <w:i/>
          <w:lang w:val="it-IT"/>
        </w:rPr>
        <w:t>svaz</w:t>
      </w:r>
      <w:proofErr w:type="spellEnd"/>
      <w:r w:rsidRPr="00595E70">
        <w:rPr>
          <w:i/>
          <w:lang w:val="it-IT"/>
        </w:rPr>
        <w:t xml:space="preserve"> </w:t>
      </w:r>
      <w:proofErr w:type="spellStart"/>
      <w:r w:rsidRPr="00595E70">
        <w:rPr>
          <w:i/>
          <w:lang w:val="it-IT"/>
        </w:rPr>
        <w:t>autorský</w:t>
      </w:r>
      <w:proofErr w:type="spellEnd"/>
      <w:r w:rsidRPr="00595E70">
        <w:rPr>
          <w:i/>
          <w:lang w:val="it-IT"/>
        </w:rPr>
        <w:t xml:space="preserve"> pro </w:t>
      </w:r>
      <w:proofErr w:type="spellStart"/>
      <w:r w:rsidRPr="00595E70">
        <w:rPr>
          <w:i/>
          <w:lang w:val="it-IT"/>
        </w:rPr>
        <w:t>práva</w:t>
      </w:r>
      <w:proofErr w:type="spellEnd"/>
      <w:r w:rsidRPr="00595E70">
        <w:rPr>
          <w:i/>
          <w:lang w:val="it-IT"/>
        </w:rPr>
        <w:t xml:space="preserve"> k </w:t>
      </w:r>
      <w:proofErr w:type="spellStart"/>
      <w:r w:rsidRPr="00595E70">
        <w:rPr>
          <w:i/>
          <w:lang w:val="it-IT"/>
        </w:rPr>
        <w:t>dílům</w:t>
      </w:r>
      <w:proofErr w:type="spellEnd"/>
      <w:r w:rsidRPr="00595E70">
        <w:rPr>
          <w:i/>
          <w:lang w:val="it-IT"/>
        </w:rPr>
        <w:t xml:space="preserve"> </w:t>
      </w:r>
      <w:proofErr w:type="spellStart"/>
      <w:r w:rsidRPr="00595E70">
        <w:rPr>
          <w:i/>
          <w:lang w:val="it-IT"/>
        </w:rPr>
        <w:t>hudebním</w:t>
      </w:r>
      <w:proofErr w:type="spellEnd"/>
      <w:r w:rsidRPr="00595E70">
        <w:rPr>
          <w:i/>
          <w:lang w:val="it-IT"/>
        </w:rPr>
        <w:t xml:space="preserve"> </w:t>
      </w:r>
      <w:proofErr w:type="spellStart"/>
      <w:proofErr w:type="gramStart"/>
      <w:r w:rsidRPr="00595E70">
        <w:rPr>
          <w:i/>
          <w:lang w:val="it-IT"/>
        </w:rPr>
        <w:t>o.s</w:t>
      </w:r>
      <w:proofErr w:type="spellEnd"/>
      <w:r w:rsidRPr="00595E70">
        <w:rPr>
          <w:i/>
          <w:lang w:val="it-IT"/>
        </w:rPr>
        <w:t>.</w:t>
      </w:r>
      <w:proofErr w:type="gramEnd"/>
      <w:r w:rsidRPr="00595E70">
        <w:rPr>
          <w:i/>
          <w:lang w:val="it-IT"/>
        </w:rPr>
        <w:t xml:space="preserve"> </w:t>
      </w:r>
      <w:r w:rsidRPr="00595E70">
        <w:rPr>
          <w:lang w:val="it-IT"/>
        </w:rPr>
        <w:t>[2014] EUECJ Case 351/12.</w:t>
      </w:r>
    </w:p>
  </w:footnote>
  <w:footnote w:id="129">
    <w:p w14:paraId="1E555F9D" w14:textId="10C747D0" w:rsidR="003C568B" w:rsidRPr="00595E70" w:rsidRDefault="003C568B" w:rsidP="00351398">
      <w:pPr>
        <w:pStyle w:val="Footnote"/>
      </w:pPr>
      <w:r w:rsidRPr="00595E70">
        <w:rPr>
          <w:rStyle w:val="Footnoteanchor"/>
        </w:rPr>
        <w:footnoteRef/>
      </w:r>
      <w:r>
        <w:tab/>
      </w:r>
      <w:proofErr w:type="gramStart"/>
      <w:r w:rsidRPr="00595E70">
        <w:t xml:space="preserve">C-466/12 </w:t>
      </w:r>
      <w:proofErr w:type="spellStart"/>
      <w:r w:rsidRPr="00595E70">
        <w:rPr>
          <w:i/>
        </w:rPr>
        <w:t>Svensson</w:t>
      </w:r>
      <w:proofErr w:type="spellEnd"/>
      <w:r w:rsidRPr="00595E70">
        <w:rPr>
          <w:i/>
        </w:rPr>
        <w:t xml:space="preserve"> and others</w:t>
      </w:r>
      <w:r w:rsidRPr="00595E70">
        <w:t xml:space="preserve"> [2014] ECDR 9.</w:t>
      </w:r>
      <w:proofErr w:type="gramEnd"/>
    </w:p>
  </w:footnote>
  <w:footnote w:id="130">
    <w:p w14:paraId="4C41D111" w14:textId="4FADBB38" w:rsidR="003C568B" w:rsidRPr="00595E70" w:rsidRDefault="003C568B" w:rsidP="00351398">
      <w:pPr>
        <w:pStyle w:val="Footnote"/>
        <w:rPr>
          <w:lang w:val="it-IT"/>
        </w:rPr>
      </w:pPr>
      <w:r w:rsidRPr="00595E70">
        <w:rPr>
          <w:rStyle w:val="Footnoteanchor"/>
        </w:rPr>
        <w:footnoteRef/>
      </w:r>
      <w:r>
        <w:rPr>
          <w:lang w:val="it-IT"/>
        </w:rPr>
        <w:tab/>
        <w:t>C-</w:t>
      </w:r>
      <w:r w:rsidRPr="00595E70">
        <w:rPr>
          <w:lang w:val="it-IT"/>
        </w:rPr>
        <w:t xml:space="preserve">360/10 </w:t>
      </w:r>
      <w:r w:rsidRPr="00595E70">
        <w:rPr>
          <w:i/>
          <w:lang w:val="it-IT"/>
        </w:rPr>
        <w:t>SABAM</w:t>
      </w:r>
      <w:r w:rsidRPr="00595E70">
        <w:rPr>
          <w:lang w:val="it-IT"/>
        </w:rPr>
        <w:t xml:space="preserve"> (ECLI</w:t>
      </w:r>
      <w:proofErr w:type="gramStart"/>
      <w:r w:rsidRPr="00595E70">
        <w:rPr>
          <w:lang w:val="it-IT"/>
        </w:rPr>
        <w:t>:</w:t>
      </w:r>
      <w:proofErr w:type="gramEnd"/>
      <w:r w:rsidRPr="00595E70">
        <w:rPr>
          <w:lang w:val="it-IT"/>
        </w:rPr>
        <w:t>EU:C:2012:85); C</w:t>
      </w:r>
      <w:r w:rsidRPr="00595E70">
        <w:rPr>
          <w:lang w:val="it-IT"/>
        </w:rPr>
        <w:noBreakHyphen/>
        <w:t xml:space="preserve"> 70/</w:t>
      </w:r>
      <w:r w:rsidRPr="00595E70">
        <w:rPr>
          <w:i/>
          <w:lang w:val="it-IT"/>
        </w:rPr>
        <w:t xml:space="preserve">10 </w:t>
      </w:r>
      <w:proofErr w:type="spellStart"/>
      <w:r w:rsidRPr="00595E70">
        <w:rPr>
          <w:i/>
          <w:lang w:val="it-IT"/>
        </w:rPr>
        <w:t>Scarlet</w:t>
      </w:r>
      <w:proofErr w:type="spellEnd"/>
      <w:r w:rsidRPr="00595E70">
        <w:rPr>
          <w:i/>
          <w:lang w:val="it-IT"/>
        </w:rPr>
        <w:t xml:space="preserve"> Extended</w:t>
      </w:r>
      <w:r w:rsidRPr="00595E70">
        <w:rPr>
          <w:lang w:val="it-IT"/>
        </w:rPr>
        <w:t xml:space="preserve"> [2011] ECR I-11959).</w:t>
      </w:r>
    </w:p>
  </w:footnote>
  <w:footnote w:id="131">
    <w:p w14:paraId="13FE5A83" w14:textId="6F53E2CE" w:rsidR="003C568B" w:rsidRPr="00595E70" w:rsidRDefault="003C568B" w:rsidP="00351398">
      <w:pPr>
        <w:pStyle w:val="Footnote"/>
        <w:rPr>
          <w:lang w:val="it-IT"/>
        </w:rPr>
      </w:pPr>
      <w:r w:rsidRPr="00595E70">
        <w:rPr>
          <w:rStyle w:val="Footnoteanchor"/>
        </w:rPr>
        <w:footnoteRef/>
      </w:r>
      <w:r>
        <w:rPr>
          <w:lang w:val="it-IT"/>
        </w:rPr>
        <w:tab/>
        <w:t>C-</w:t>
      </w:r>
      <w:r w:rsidRPr="00595E70">
        <w:rPr>
          <w:lang w:val="it-IT"/>
        </w:rPr>
        <w:t xml:space="preserve">461/10 </w:t>
      </w:r>
      <w:proofErr w:type="spellStart"/>
      <w:r w:rsidRPr="00595E70">
        <w:rPr>
          <w:i/>
          <w:lang w:val="it-IT"/>
        </w:rPr>
        <w:t>Bonnier</w:t>
      </w:r>
      <w:proofErr w:type="spellEnd"/>
      <w:r w:rsidRPr="00595E70">
        <w:rPr>
          <w:i/>
          <w:lang w:val="it-IT"/>
        </w:rPr>
        <w:t xml:space="preserve"> Audio</w:t>
      </w:r>
      <w:r w:rsidRPr="00595E70">
        <w:rPr>
          <w:lang w:val="it-IT"/>
        </w:rPr>
        <w:t xml:space="preserve"> (ECLI</w:t>
      </w:r>
      <w:proofErr w:type="gramStart"/>
      <w:r w:rsidRPr="00595E70">
        <w:rPr>
          <w:lang w:val="it-IT"/>
        </w:rPr>
        <w:t>:</w:t>
      </w:r>
      <w:proofErr w:type="gramEnd"/>
      <w:r w:rsidRPr="00595E70">
        <w:rPr>
          <w:lang w:val="it-IT"/>
        </w:rPr>
        <w:t>EU:C:2012:219); C</w:t>
      </w:r>
      <w:r w:rsidRPr="00595E70">
        <w:rPr>
          <w:lang w:val="it-IT"/>
        </w:rPr>
        <w:noBreakHyphen/>
        <w:t xml:space="preserve"> 275/06 </w:t>
      </w:r>
      <w:proofErr w:type="spellStart"/>
      <w:r w:rsidRPr="00595E70">
        <w:rPr>
          <w:i/>
          <w:lang w:val="it-IT"/>
        </w:rPr>
        <w:t>Promusicae</w:t>
      </w:r>
      <w:proofErr w:type="spellEnd"/>
      <w:r w:rsidRPr="00595E70">
        <w:rPr>
          <w:lang w:val="it-IT"/>
        </w:rPr>
        <w:t xml:space="preserve"> [2008] ECR I-00271.</w:t>
      </w:r>
    </w:p>
  </w:footnote>
  <w:footnote w:id="132">
    <w:p w14:paraId="1FE30532" w14:textId="70E03109" w:rsidR="003C568B" w:rsidRPr="00595E70" w:rsidRDefault="003C568B" w:rsidP="00351398">
      <w:pPr>
        <w:pStyle w:val="Footnote"/>
        <w:rPr>
          <w:lang w:val="it-IT"/>
        </w:rPr>
      </w:pPr>
      <w:r w:rsidRPr="00595E70">
        <w:rPr>
          <w:rStyle w:val="Footnoteanchor"/>
        </w:rPr>
        <w:footnoteRef/>
      </w:r>
      <w:r>
        <w:rPr>
          <w:lang w:val="it-IT"/>
        </w:rPr>
        <w:tab/>
        <w:t>C-</w:t>
      </w:r>
      <w:r w:rsidRPr="00595E70">
        <w:rPr>
          <w:lang w:val="it-IT"/>
        </w:rPr>
        <w:t xml:space="preserve">393/09 </w:t>
      </w:r>
      <w:proofErr w:type="spellStart"/>
      <w:r w:rsidRPr="00595E70">
        <w:rPr>
          <w:i/>
          <w:lang w:val="it-IT"/>
        </w:rPr>
        <w:t>Bezpe</w:t>
      </w:r>
      <w:r w:rsidRPr="00595E70">
        <w:rPr>
          <w:rFonts w:eastAsia="MS Mincho"/>
          <w:i/>
          <w:lang w:val="it-IT"/>
        </w:rPr>
        <w:t>č</w:t>
      </w:r>
      <w:r w:rsidRPr="00595E70">
        <w:rPr>
          <w:i/>
          <w:lang w:val="it-IT"/>
        </w:rPr>
        <w:t>nostní</w:t>
      </w:r>
      <w:proofErr w:type="spellEnd"/>
      <w:r w:rsidRPr="00595E70">
        <w:rPr>
          <w:i/>
          <w:lang w:val="it-IT"/>
        </w:rPr>
        <w:t xml:space="preserve"> </w:t>
      </w:r>
      <w:proofErr w:type="spellStart"/>
      <w:r w:rsidRPr="00595E70">
        <w:rPr>
          <w:i/>
          <w:lang w:val="it-IT"/>
        </w:rPr>
        <w:t>softwarová</w:t>
      </w:r>
      <w:proofErr w:type="spellEnd"/>
      <w:r w:rsidRPr="00595E70">
        <w:rPr>
          <w:i/>
          <w:lang w:val="it-IT"/>
        </w:rPr>
        <w:t xml:space="preserve"> </w:t>
      </w:r>
      <w:proofErr w:type="spellStart"/>
      <w:r w:rsidRPr="00595E70">
        <w:rPr>
          <w:i/>
          <w:lang w:val="it-IT"/>
        </w:rPr>
        <w:t>asociace</w:t>
      </w:r>
      <w:proofErr w:type="spellEnd"/>
      <w:r w:rsidRPr="00595E70">
        <w:rPr>
          <w:lang w:val="it-IT"/>
        </w:rPr>
        <w:t xml:space="preserve"> [2010] ECR I-13971.</w:t>
      </w:r>
    </w:p>
  </w:footnote>
  <w:footnote w:id="133">
    <w:p w14:paraId="634B0C14" w14:textId="4331F65A" w:rsidR="003C568B" w:rsidRPr="00595E70" w:rsidRDefault="003C568B" w:rsidP="00351398">
      <w:pPr>
        <w:pStyle w:val="Footnote"/>
        <w:rPr>
          <w:lang w:val="fr-FR"/>
        </w:rPr>
      </w:pPr>
      <w:r w:rsidRPr="00595E70">
        <w:rPr>
          <w:rStyle w:val="Footnoteanchor"/>
        </w:rPr>
        <w:footnoteRef/>
      </w:r>
      <w:r>
        <w:rPr>
          <w:lang w:val="fr-FR"/>
        </w:rPr>
        <w:tab/>
        <w:t>C-</w:t>
      </w:r>
      <w:r w:rsidRPr="00595E70">
        <w:rPr>
          <w:lang w:val="fr-FR"/>
        </w:rPr>
        <w:t xml:space="preserve">406/10 </w:t>
      </w:r>
      <w:r w:rsidRPr="00595E70">
        <w:rPr>
          <w:i/>
          <w:lang w:val="fr-FR"/>
        </w:rPr>
        <w:t>SAS Institute</w:t>
      </w:r>
      <w:r w:rsidRPr="00595E70">
        <w:rPr>
          <w:lang w:val="fr-FR"/>
        </w:rPr>
        <w:t xml:space="preserve"> (ECLI:EU:C:2012:259).</w:t>
      </w:r>
    </w:p>
  </w:footnote>
  <w:footnote w:id="134">
    <w:p w14:paraId="511B4EF4" w14:textId="0C09950A" w:rsidR="003C568B" w:rsidRPr="00595E70" w:rsidRDefault="003C568B" w:rsidP="00351398">
      <w:pPr>
        <w:pStyle w:val="Footnote"/>
      </w:pPr>
      <w:r w:rsidRPr="00595E70">
        <w:rPr>
          <w:rStyle w:val="Footnoteanchor"/>
        </w:rPr>
        <w:footnoteRef/>
      </w:r>
      <w:r>
        <w:tab/>
        <w:t>C-</w:t>
      </w:r>
      <w:r w:rsidRPr="00595E70">
        <w:t xml:space="preserve">128/11 </w:t>
      </w:r>
      <w:proofErr w:type="spellStart"/>
      <w:r w:rsidRPr="00595E70">
        <w:rPr>
          <w:i/>
        </w:rPr>
        <w:t>UsedSoft</w:t>
      </w:r>
      <w:proofErr w:type="spellEnd"/>
      <w:r w:rsidRPr="00595E70">
        <w:t xml:space="preserve"> (ECLI</w:t>
      </w:r>
      <w:proofErr w:type="gramStart"/>
      <w:r w:rsidRPr="00595E70">
        <w:t>:EU:C:2012:407</w:t>
      </w:r>
      <w:proofErr w:type="gramEnd"/>
      <w:r w:rsidRPr="00595E70">
        <w:t>).</w:t>
      </w:r>
    </w:p>
  </w:footnote>
  <w:footnote w:id="135">
    <w:p w14:paraId="1FB0D1DE" w14:textId="3C5E0754" w:rsidR="003C568B" w:rsidRPr="00595E70" w:rsidRDefault="003C568B" w:rsidP="00351398">
      <w:pPr>
        <w:pStyle w:val="Footnote"/>
      </w:pPr>
      <w:r w:rsidRPr="00595E70">
        <w:rPr>
          <w:rStyle w:val="Footnoteanchor"/>
        </w:rPr>
        <w:footnoteRef/>
      </w:r>
      <w:r>
        <w:tab/>
      </w:r>
      <w:proofErr w:type="gramStart"/>
      <w:r>
        <w:t>C-</w:t>
      </w:r>
      <w:r w:rsidRPr="00595E70">
        <w:t>240/</w:t>
      </w:r>
      <w:r w:rsidRPr="00595E70">
        <w:rPr>
          <w:i/>
        </w:rPr>
        <w:t>07 Sony Music Entertainment</w:t>
      </w:r>
      <w:r w:rsidRPr="00595E70">
        <w:t xml:space="preserve"> [2009] ECR I-00263.</w:t>
      </w:r>
      <w:proofErr w:type="gramEnd"/>
    </w:p>
  </w:footnote>
  <w:footnote w:id="136">
    <w:p w14:paraId="5D6FE25A" w14:textId="104FDE89" w:rsidR="003C568B" w:rsidRPr="00595E70" w:rsidRDefault="003C568B" w:rsidP="00351398">
      <w:pPr>
        <w:pStyle w:val="Footnote"/>
      </w:pPr>
      <w:r w:rsidRPr="00595E70">
        <w:rPr>
          <w:rStyle w:val="Footnoteanchor"/>
        </w:rPr>
        <w:footnoteRef/>
      </w:r>
      <w:r>
        <w:tab/>
      </w:r>
      <w:proofErr w:type="gramStart"/>
      <w:r w:rsidRPr="00595E70">
        <w:t xml:space="preserve">C-60/98 </w:t>
      </w:r>
      <w:r w:rsidRPr="00595E70">
        <w:rPr>
          <w:i/>
        </w:rPr>
        <w:t>Butterfly</w:t>
      </w:r>
      <w:r w:rsidRPr="00595E70">
        <w:t xml:space="preserve"> [1999] ECR I-03939.</w:t>
      </w:r>
      <w:proofErr w:type="gramEnd"/>
    </w:p>
  </w:footnote>
  <w:footnote w:id="137">
    <w:p w14:paraId="284B7315" w14:textId="416D00F5" w:rsidR="003C568B" w:rsidRPr="00595E70" w:rsidRDefault="003C568B" w:rsidP="00351398">
      <w:pPr>
        <w:pStyle w:val="Footnote"/>
      </w:pPr>
      <w:r w:rsidRPr="00595E70">
        <w:rPr>
          <w:rStyle w:val="Footnoteanchor"/>
        </w:rPr>
        <w:footnoteRef/>
      </w:r>
      <w:r>
        <w:t xml:space="preserve"> Case C-</w:t>
      </w:r>
      <w:r w:rsidRPr="00595E70">
        <w:t xml:space="preserve">128/11 </w:t>
      </w:r>
      <w:proofErr w:type="spellStart"/>
      <w:r>
        <w:rPr>
          <w:i/>
        </w:rPr>
        <w:t>UsedS</w:t>
      </w:r>
      <w:r w:rsidRPr="00595E70">
        <w:rPr>
          <w:i/>
        </w:rPr>
        <w:t>oft</w:t>
      </w:r>
      <w:proofErr w:type="spellEnd"/>
      <w:r w:rsidRPr="00595E70">
        <w:t xml:space="preserve"> (ECLI</w:t>
      </w:r>
      <w:proofErr w:type="gramStart"/>
      <w:r w:rsidRPr="00595E70">
        <w:t>:EU:C:2012:407</w:t>
      </w:r>
      <w:proofErr w:type="gramEnd"/>
      <w:r w:rsidRPr="00595E70">
        <w:t xml:space="preserve">), Opinion of AG Bot: ‘The aim of the principle of exhaustion ... is to strike a balance between the necessary protection of intellectual property rights ... and the requirements of the free movement of goods (43). </w:t>
      </w:r>
      <w:r>
        <w:t>Judgment</w:t>
      </w:r>
      <w:r w:rsidRPr="00595E70">
        <w:t>: the objective of the principle of the exhaustion of the right of distribution of works protected by copyright is, in order to avoid partitioning of markets, to limit restrictions of the distribution of those works... (62).’</w:t>
      </w:r>
    </w:p>
  </w:footnote>
  <w:footnote w:id="138">
    <w:p w14:paraId="718AC50B" w14:textId="4D4F2D8B" w:rsidR="003C568B" w:rsidRPr="00595E70" w:rsidRDefault="003C568B" w:rsidP="00351398">
      <w:pPr>
        <w:pStyle w:val="Footnote"/>
      </w:pPr>
      <w:r w:rsidRPr="00595E70">
        <w:rPr>
          <w:rStyle w:val="Footnoteanchor"/>
        </w:rPr>
        <w:footnoteRef/>
      </w:r>
      <w:r w:rsidRPr="00595E70">
        <w:t xml:space="preserve"> C-192/04 </w:t>
      </w:r>
      <w:proofErr w:type="spellStart"/>
      <w:r w:rsidRPr="00595E70">
        <w:rPr>
          <w:i/>
        </w:rPr>
        <w:t>Lagardére</w:t>
      </w:r>
      <w:proofErr w:type="spellEnd"/>
      <w:r w:rsidRPr="00595E70">
        <w:rPr>
          <w:i/>
        </w:rPr>
        <w:t xml:space="preserve"> Active Broadcast</w:t>
      </w:r>
      <w:r w:rsidRPr="00595E70">
        <w:t xml:space="preserve"> [2005] ECR I-07199, Opinion of AG </w:t>
      </w:r>
      <w:proofErr w:type="spellStart"/>
      <w:r w:rsidRPr="00595E70">
        <w:t>Tizzano</w:t>
      </w:r>
      <w:proofErr w:type="spellEnd"/>
      <w:r w:rsidRPr="00595E70">
        <w:t>: in such cases, it must be given ‘an autonomous and uniform interpretation throughout the Community; that interpretation must take into account the context of the provision and the purpose of the legislation in question (68)’. C-192/</w:t>
      </w:r>
      <w:r w:rsidRPr="00595E70">
        <w:rPr>
          <w:i/>
        </w:rPr>
        <w:t xml:space="preserve">04 </w:t>
      </w:r>
      <w:proofErr w:type="spellStart"/>
      <w:r w:rsidRPr="00595E70">
        <w:rPr>
          <w:i/>
        </w:rPr>
        <w:t>Lagardére</w:t>
      </w:r>
      <w:proofErr w:type="spellEnd"/>
      <w:r w:rsidRPr="00595E70">
        <w:rPr>
          <w:i/>
        </w:rPr>
        <w:t xml:space="preserve"> Active Broadcast</w:t>
      </w:r>
      <w:r w:rsidRPr="00595E70">
        <w:t xml:space="preserve">, </w:t>
      </w:r>
      <w:r>
        <w:t>Judgment</w:t>
      </w:r>
      <w:r w:rsidRPr="00595E70">
        <w:t xml:space="preserve">: ‘it is clear from its wording and scheme that Directive 92/100 provides for minimal harmonisation regarding rights related to copyright. Thus, it does not purport to detract, in particular, from the principle of the territoriality of those rights, which is recognised in international law and also in the EC Treaty. (46)’. C-245/00 </w:t>
      </w:r>
      <w:r w:rsidRPr="00595E70">
        <w:rPr>
          <w:i/>
        </w:rPr>
        <w:t>SENA</w:t>
      </w:r>
      <w:r w:rsidRPr="00595E70">
        <w:t xml:space="preserve">, </w:t>
      </w:r>
      <w:r>
        <w:t>Judgment</w:t>
      </w:r>
      <w:r w:rsidRPr="00595E70">
        <w:t xml:space="preserve">: ‘the concept of equitable remuneration, a concept which must, in the light of the objectives of Directive 92/100, as specified in particular in the preamble thereto, be viewed as enabling a proper balance to be achieved between the interests of performing artists and producers in obtaining remuneration for the broadcast of a particular phonogram’ (36). C-245/00 </w:t>
      </w:r>
      <w:r w:rsidRPr="00595E70">
        <w:rPr>
          <w:i/>
        </w:rPr>
        <w:t>SENA</w:t>
      </w:r>
      <w:r w:rsidRPr="00595E70">
        <w:t xml:space="preserve">, Opinion of AG </w:t>
      </w:r>
      <w:proofErr w:type="spellStart"/>
      <w:r w:rsidRPr="00595E70">
        <w:t>Tizzano</w:t>
      </w:r>
      <w:proofErr w:type="spellEnd"/>
      <w:r w:rsidRPr="00595E70">
        <w:t>: ‘it seems to me to be immediately clear that remuneration cannot be considered to be equitable if it is likely to prejudice the outcome sought by the Directive’ (46).</w:t>
      </w:r>
    </w:p>
  </w:footnote>
  <w:footnote w:id="139">
    <w:p w14:paraId="73B61DB8" w14:textId="30AA6E8E" w:rsidR="003C568B" w:rsidRPr="00595E70" w:rsidRDefault="003C568B" w:rsidP="00351398">
      <w:pPr>
        <w:pStyle w:val="Footnote"/>
        <w:rPr>
          <w:lang w:val="it-IT"/>
        </w:rPr>
      </w:pPr>
      <w:r w:rsidRPr="00595E70">
        <w:rPr>
          <w:rStyle w:val="Footnoteanchor"/>
        </w:rPr>
        <w:footnoteRef/>
      </w:r>
      <w:r>
        <w:rPr>
          <w:lang w:val="it-IT"/>
        </w:rPr>
        <w:tab/>
      </w:r>
      <w:r w:rsidRPr="00595E70">
        <w:rPr>
          <w:lang w:val="it-IT"/>
        </w:rPr>
        <w:t xml:space="preserve">C-293/98 </w:t>
      </w:r>
      <w:proofErr w:type="spellStart"/>
      <w:r w:rsidRPr="00595E70">
        <w:rPr>
          <w:i/>
          <w:lang w:val="it-IT"/>
        </w:rPr>
        <w:t>Egeda</w:t>
      </w:r>
      <w:proofErr w:type="spellEnd"/>
      <w:r w:rsidRPr="00595E70">
        <w:rPr>
          <w:lang w:val="it-IT"/>
        </w:rPr>
        <w:t xml:space="preserve"> [2000] ECR I-00629, Opinion of AG La Pergola.</w:t>
      </w:r>
    </w:p>
  </w:footnote>
  <w:footnote w:id="140">
    <w:p w14:paraId="2C9F1D3F" w14:textId="1EDD6B66" w:rsidR="003C568B" w:rsidRPr="00595E70" w:rsidRDefault="003C568B" w:rsidP="00351398">
      <w:pPr>
        <w:pStyle w:val="Footnote"/>
      </w:pPr>
      <w:r w:rsidRPr="00595E70">
        <w:rPr>
          <w:rStyle w:val="Footnoteanchor"/>
        </w:rPr>
        <w:footnoteRef/>
      </w:r>
      <w:r>
        <w:tab/>
      </w:r>
      <w:r w:rsidRPr="00595E70">
        <w:t xml:space="preserve">C-306/05 </w:t>
      </w:r>
      <w:r w:rsidRPr="00595E70">
        <w:rPr>
          <w:i/>
        </w:rPr>
        <w:t>SGAE</w:t>
      </w:r>
      <w:r w:rsidRPr="00595E70">
        <w:t xml:space="preserve"> [2006] ECR I-11519, Opinion of AG </w:t>
      </w:r>
      <w:proofErr w:type="spellStart"/>
      <w:r w:rsidRPr="00595E70">
        <w:t>Sharpston</w:t>
      </w:r>
      <w:proofErr w:type="spellEnd"/>
      <w:r w:rsidRPr="00595E70">
        <w:t xml:space="preserve">: ‘As Advocate General La Pergola put it in his Opinion in </w:t>
      </w:r>
      <w:r w:rsidRPr="00595E70">
        <w:rPr>
          <w:i/>
        </w:rPr>
        <w:t>EGEDA</w:t>
      </w:r>
      <w:r w:rsidRPr="00595E70">
        <w:t>, (54) “[</w:t>
      </w:r>
      <w:proofErr w:type="gramStart"/>
      <w:r w:rsidRPr="00595E70">
        <w:t>I]t</w:t>
      </w:r>
      <w:proofErr w:type="gramEnd"/>
      <w:r w:rsidRPr="00595E70">
        <w:t xml:space="preserve"> is all too clear – given that such retransmission is not just a technical means to ensure or improve reception of the original broadcast in the catchment area, as in the case, for example, of the installation and use of transceivers – that [the hotel proprietor] gave the hotel guests access to the protected work.”’.(52)</w:t>
      </w:r>
    </w:p>
  </w:footnote>
  <w:footnote w:id="141">
    <w:p w14:paraId="6F31C809" w14:textId="25663840" w:rsidR="003C568B" w:rsidRPr="00595E70" w:rsidRDefault="003C568B" w:rsidP="00351398">
      <w:pPr>
        <w:pStyle w:val="Footnote"/>
      </w:pPr>
      <w:r w:rsidRPr="00595E70">
        <w:rPr>
          <w:rStyle w:val="Footnoteanchor"/>
        </w:rPr>
        <w:footnoteRef/>
      </w:r>
      <w:r>
        <w:tab/>
      </w:r>
      <w:r w:rsidRPr="00595E70">
        <w:t xml:space="preserve">C-403/08 - </w:t>
      </w:r>
      <w:r w:rsidRPr="00595E70">
        <w:rPr>
          <w:i/>
        </w:rPr>
        <w:t>Football Association Premier League and Others</w:t>
      </w:r>
      <w:r w:rsidRPr="00595E70">
        <w:t xml:space="preserve"> joint with C429/08 </w:t>
      </w:r>
      <w:r w:rsidRPr="00595E70">
        <w:rPr>
          <w:i/>
        </w:rPr>
        <w:t>Murphy</w:t>
      </w:r>
      <w:r w:rsidRPr="00595E70">
        <w:t xml:space="preserve"> [2011] ECR I-09083.</w:t>
      </w:r>
    </w:p>
  </w:footnote>
  <w:footnote w:id="142">
    <w:p w14:paraId="63D3EC6A" w14:textId="0C4C2674" w:rsidR="003C568B" w:rsidRPr="00595E70" w:rsidRDefault="003C568B" w:rsidP="00351398">
      <w:pPr>
        <w:pStyle w:val="Footnote"/>
      </w:pPr>
      <w:r w:rsidRPr="00595E70">
        <w:rPr>
          <w:rStyle w:val="Footnoteanchor"/>
        </w:rPr>
        <w:footnoteRef/>
      </w:r>
      <w:r>
        <w:rPr>
          <w:i/>
        </w:rPr>
        <w:tab/>
      </w:r>
      <w:r w:rsidRPr="00595E70">
        <w:rPr>
          <w:i/>
        </w:rPr>
        <w:t>ibid</w:t>
      </w:r>
      <w:r w:rsidRPr="00595E70">
        <w:t xml:space="preserve">, </w:t>
      </w:r>
      <w:r>
        <w:t>Judgment</w:t>
      </w:r>
      <w:r w:rsidRPr="00595E70">
        <w:t xml:space="preserve">: ‘the reproduction right extends to transient fragments of the works within the memory of a satellite decoder and on a television screen’ (159); ibid, Opinion of AG </w:t>
      </w:r>
      <w:proofErr w:type="spellStart"/>
      <w:r w:rsidRPr="00595E70">
        <w:t>Kokott</w:t>
      </w:r>
      <w:proofErr w:type="spellEnd"/>
      <w:r w:rsidRPr="00595E70">
        <w:t>: ‘Acts of reproduction occur where frames of digital video and audio are created within the memory of a decoder, as those frames constitute part of the broadcast authors own intellectual creation’ (252,3(b); ‘The display of a broadcast on a screen also constitutes reproduction’ (252.3(c).</w:t>
      </w:r>
    </w:p>
  </w:footnote>
  <w:footnote w:id="143">
    <w:p w14:paraId="5421951E" w14:textId="606BF081" w:rsidR="003C568B" w:rsidRPr="00595E70" w:rsidRDefault="003C568B" w:rsidP="00351398">
      <w:pPr>
        <w:pStyle w:val="Footnote"/>
      </w:pPr>
      <w:r w:rsidRPr="00595E70">
        <w:rPr>
          <w:rStyle w:val="Footnoteanchor"/>
        </w:rPr>
        <w:footnoteRef/>
      </w:r>
      <w:r>
        <w:rPr>
          <w:i/>
        </w:rPr>
        <w:tab/>
      </w:r>
      <w:r w:rsidRPr="00595E70">
        <w:rPr>
          <w:i/>
        </w:rPr>
        <w:t>ibid</w:t>
      </w:r>
      <w:r w:rsidRPr="00595E70">
        <w:t xml:space="preserve">, Opinion of AG </w:t>
      </w:r>
      <w:proofErr w:type="spellStart"/>
      <w:r w:rsidRPr="00595E70">
        <w:t>Kokott</w:t>
      </w:r>
      <w:proofErr w:type="spellEnd"/>
      <w:r w:rsidRPr="00595E70">
        <w:t>: ‘A copyright work is not communicated to the public by wire or wireless means, within the meaning of Article 3(1) of Directive 2001/29, where it is received or viewed as part of a satellite broadcast at commercial premises (for example, a bar)’ (252.5).</w:t>
      </w:r>
    </w:p>
  </w:footnote>
  <w:footnote w:id="144">
    <w:p w14:paraId="27628E58" w14:textId="27F65FD4" w:rsidR="003C568B" w:rsidRPr="00595E70" w:rsidRDefault="003C568B" w:rsidP="00351398">
      <w:pPr>
        <w:pStyle w:val="Footnote"/>
      </w:pPr>
      <w:r w:rsidRPr="00595E70">
        <w:rPr>
          <w:rStyle w:val="Footnoteanchor"/>
        </w:rPr>
        <w:footnoteRef/>
      </w:r>
      <w:r>
        <w:rPr>
          <w:i/>
        </w:rPr>
        <w:tab/>
      </w:r>
      <w:r w:rsidRPr="00595E70">
        <w:rPr>
          <w:i/>
        </w:rPr>
        <w:t>ibid</w:t>
      </w:r>
      <w:r w:rsidRPr="00595E70">
        <w:t xml:space="preserve">, Opinion of AG </w:t>
      </w:r>
      <w:proofErr w:type="spellStart"/>
      <w:proofErr w:type="gramStart"/>
      <w:r w:rsidRPr="00595E70">
        <w:t>Kokott</w:t>
      </w:r>
      <w:proofErr w:type="spellEnd"/>
      <w:r w:rsidRPr="00595E70">
        <w:t xml:space="preserve"> :</w:t>
      </w:r>
      <w:proofErr w:type="gramEnd"/>
      <w:r w:rsidRPr="00595E70">
        <w:t xml:space="preserve"> ‘Transient copies of a work created on a television screen linked to the decoder box have independent economic significance within the meaning of Article 5(1) of Directive 2001/29’ (252 .4).</w:t>
      </w:r>
    </w:p>
  </w:footnote>
  <w:footnote w:id="145">
    <w:p w14:paraId="0AFB95C5" w14:textId="31C70F20" w:rsidR="003C568B" w:rsidRPr="00595E70" w:rsidRDefault="003C568B" w:rsidP="00351398">
      <w:pPr>
        <w:pStyle w:val="Footnote"/>
      </w:pPr>
      <w:r w:rsidRPr="00595E70">
        <w:rPr>
          <w:rStyle w:val="Footnoteanchor"/>
        </w:rPr>
        <w:footnoteRef/>
      </w:r>
      <w:r>
        <w:rPr>
          <w:i/>
        </w:rPr>
        <w:tab/>
      </w:r>
      <w:r w:rsidRPr="00595E70">
        <w:rPr>
          <w:i/>
        </w:rPr>
        <w:t>ibid</w:t>
      </w:r>
      <w:r w:rsidRPr="00595E70">
        <w:t xml:space="preserve">, </w:t>
      </w:r>
      <w:r>
        <w:t>Judgment</w:t>
      </w:r>
      <w:r w:rsidRPr="00595E70">
        <w:t>: ‘”Communication to the public” within the meaning of Article 3(1) of Directive 2001/29 must be interpreted as covering transmission of the broadcast works, via a television screen and speakers, to the customers present in a public house (211.7). Acts of reproduction such as those at issue in Case C-403/08, which are performed within the memory of a satellite decoder and on a television screen, fulfil the conditions laid down in Article 5(1) of Directive 2001/29 and may therefore be carried out without the authorisation of the copyright holders concerned’ (211.6).</w:t>
      </w:r>
    </w:p>
  </w:footnote>
  <w:footnote w:id="146">
    <w:p w14:paraId="70AD6B33" w14:textId="3C9C0090" w:rsidR="003C568B" w:rsidRPr="00595E70" w:rsidRDefault="003C568B" w:rsidP="00351398">
      <w:pPr>
        <w:pStyle w:val="Footnote"/>
      </w:pPr>
      <w:r w:rsidRPr="00595E70">
        <w:rPr>
          <w:rStyle w:val="Footnoteanchor"/>
        </w:rPr>
        <w:footnoteRef/>
      </w:r>
      <w:r>
        <w:rPr>
          <w:i/>
        </w:rPr>
        <w:tab/>
      </w:r>
      <w:r w:rsidRPr="00595E70">
        <w:rPr>
          <w:i/>
        </w:rPr>
        <w:t>ibid</w:t>
      </w:r>
      <w:r w:rsidRPr="00595E70">
        <w:t xml:space="preserve">, Opinion of AG </w:t>
      </w:r>
      <w:proofErr w:type="spellStart"/>
      <w:r w:rsidRPr="00595E70">
        <w:t>Kokott</w:t>
      </w:r>
      <w:proofErr w:type="spellEnd"/>
      <w:r w:rsidRPr="00595E70">
        <w:t>: ‘Furthermore, according to the spirit and purpose of Directive 2006/115, it would appear to be sufficient if the customer has the legal and practical possibility of enjoying the phonograms.’ (33).</w:t>
      </w:r>
    </w:p>
  </w:footnote>
  <w:footnote w:id="147">
    <w:p w14:paraId="47F66C0D" w14:textId="629494AA" w:rsidR="003C568B" w:rsidRPr="00595E70" w:rsidRDefault="003C568B" w:rsidP="00351398">
      <w:pPr>
        <w:pStyle w:val="Footnote"/>
      </w:pPr>
      <w:r w:rsidRPr="00595E70">
        <w:rPr>
          <w:rStyle w:val="Footnoteanchor"/>
        </w:rPr>
        <w:footnoteRef/>
      </w:r>
      <w:r>
        <w:tab/>
      </w:r>
      <w:r w:rsidRPr="00595E70">
        <w:t xml:space="preserve">C-135/10 - </w:t>
      </w:r>
      <w:r w:rsidRPr="00595E70">
        <w:rPr>
          <w:i/>
        </w:rPr>
        <w:t>SCF</w:t>
      </w:r>
      <w:r w:rsidRPr="00595E70">
        <w:t xml:space="preserve"> (ECLI</w:t>
      </w:r>
      <w:proofErr w:type="gramStart"/>
      <w:r w:rsidRPr="00595E70">
        <w:t>:EU:C:2012:140</w:t>
      </w:r>
      <w:proofErr w:type="gramEnd"/>
      <w:r w:rsidRPr="00595E70">
        <w:t xml:space="preserve">) </w:t>
      </w:r>
      <w:r>
        <w:t>Judgment</w:t>
      </w:r>
      <w:r w:rsidRPr="00595E70">
        <w:t>: ‘It is clear from a comparison of Article 3(1) of Directive 2001/29 and Article 8(2) of Directive 92/100 that the concept of communication to the public appearing in those provisions is used in contexts which are not the same and pursue objectives which, while similar, are none the less different to some extent.’ (74).</w:t>
      </w:r>
    </w:p>
    <w:p w14:paraId="539C178C" w14:textId="77777777" w:rsidR="003C568B" w:rsidRPr="00595E70" w:rsidRDefault="003C568B" w:rsidP="00351398">
      <w:pPr>
        <w:pStyle w:val="Footnote"/>
      </w:pPr>
    </w:p>
  </w:footnote>
  <w:footnote w:id="148">
    <w:p w14:paraId="2640341F" w14:textId="3013EECD" w:rsidR="003C568B" w:rsidRPr="00595E70" w:rsidRDefault="003C568B" w:rsidP="00351398">
      <w:pPr>
        <w:pStyle w:val="Footnote"/>
      </w:pPr>
      <w:r w:rsidRPr="00595E70">
        <w:rPr>
          <w:rStyle w:val="Footnoteanchor"/>
        </w:rPr>
        <w:footnoteRef/>
      </w:r>
      <w:r>
        <w:tab/>
      </w:r>
      <w:r w:rsidRPr="00595E70">
        <w:t xml:space="preserve">Two cases presented </w:t>
      </w:r>
      <w:r>
        <w:t>an overlap</w:t>
      </w:r>
      <w:r w:rsidRPr="00595E70">
        <w:t xml:space="preserve"> between copyright and database rights: C-5/08 </w:t>
      </w:r>
      <w:proofErr w:type="spellStart"/>
      <w:r w:rsidRPr="00595E70">
        <w:rPr>
          <w:i/>
        </w:rPr>
        <w:t>Infopaq</w:t>
      </w:r>
      <w:proofErr w:type="spellEnd"/>
      <w:r w:rsidRPr="00595E70">
        <w:rPr>
          <w:i/>
        </w:rPr>
        <w:t xml:space="preserve"> International</w:t>
      </w:r>
      <w:r w:rsidRPr="00595E70">
        <w:t xml:space="preserve"> and C-545/07</w:t>
      </w:r>
      <w:r w:rsidRPr="00595E70">
        <w:rPr>
          <w:i/>
        </w:rPr>
        <w:t>Apis-Hristovich</w:t>
      </w:r>
      <w:r w:rsidRPr="00595E70">
        <w:t>. Of these, the first presented as main issue a copyright issue and the latter presented as a main issue a database issue. Therefore, the first was included in the copyright sample, and the latter in the database sample.</w:t>
      </w:r>
    </w:p>
  </w:footnote>
  <w:footnote w:id="149">
    <w:p w14:paraId="081C5013" w14:textId="47CE6828" w:rsidR="003C568B" w:rsidRPr="00595E70" w:rsidRDefault="003C568B" w:rsidP="00351398">
      <w:pPr>
        <w:pStyle w:val="Footnote"/>
      </w:pPr>
      <w:r w:rsidRPr="00595E70">
        <w:rPr>
          <w:rStyle w:val="Footnoteanchor"/>
        </w:rPr>
        <w:footnoteRef/>
      </w:r>
      <w:r>
        <w:tab/>
      </w:r>
      <w:r w:rsidRPr="00595E70">
        <w:t xml:space="preserve">Only one case (C-338/02 </w:t>
      </w:r>
      <w:r w:rsidRPr="00595E70">
        <w:rPr>
          <w:i/>
        </w:rPr>
        <w:t>Fixtures Marketing</w:t>
      </w:r>
      <w:r w:rsidRPr="00595E70">
        <w:t xml:space="preserve"> [2004] ECR I-10497) displayed a divergence between the conclusions of the AG and the Operational part of the </w:t>
      </w:r>
      <w:r>
        <w:t>judgment</w:t>
      </w:r>
      <w:r w:rsidRPr="00595E70">
        <w:t xml:space="preserve">. However, rather than a different stance on the same point, the divergence is explained by the fact than AG and judges expressed two different points (‘purpose of the investment’ and ‘resources covered by the investment’ on the same concept (‘investment’). </w:t>
      </w:r>
    </w:p>
  </w:footnote>
  <w:footnote w:id="150">
    <w:p w14:paraId="41388EF7" w14:textId="547EAA2F" w:rsidR="003C568B" w:rsidRPr="00595E70" w:rsidRDefault="003C568B" w:rsidP="00351398">
      <w:pPr>
        <w:pStyle w:val="Footnote"/>
      </w:pPr>
      <w:r w:rsidRPr="00595E70">
        <w:rPr>
          <w:rStyle w:val="Footnoteanchor"/>
        </w:rPr>
        <w:footnoteRef/>
      </w:r>
      <w:r>
        <w:tab/>
      </w:r>
      <w:proofErr w:type="spellStart"/>
      <w:r w:rsidRPr="00595E70">
        <w:t>Bengoetxea</w:t>
      </w:r>
      <w:proofErr w:type="spellEnd"/>
      <w:r w:rsidRPr="00595E70">
        <w:t xml:space="preserve"> and Becks n </w:t>
      </w:r>
      <w:r>
        <w:fldChar w:fldCharType="begin"/>
      </w:r>
      <w:r>
        <w:instrText xml:space="preserve"> NOTEREF _Ref404328775 \h  \* MERGEFORMAT </w:instrText>
      </w:r>
      <w:r>
        <w:fldChar w:fldCharType="separate"/>
      </w:r>
      <w:r w:rsidR="00B201F7">
        <w:t>34</w:t>
      </w:r>
      <w:r>
        <w:fldChar w:fldCharType="end"/>
      </w:r>
      <w:r w:rsidRPr="00595E70">
        <w:t xml:space="preserve"> above.</w:t>
      </w:r>
    </w:p>
  </w:footnote>
  <w:footnote w:id="151">
    <w:p w14:paraId="31D17E10" w14:textId="1A53BD3F" w:rsidR="003C568B" w:rsidRPr="00595E70" w:rsidRDefault="003C568B" w:rsidP="00351398">
      <w:pPr>
        <w:pStyle w:val="Footnote"/>
      </w:pPr>
      <w:r w:rsidRPr="00595E70">
        <w:rPr>
          <w:rStyle w:val="Footnoteanchor"/>
        </w:rPr>
        <w:footnoteRef/>
      </w:r>
      <w:r>
        <w:tab/>
      </w:r>
      <w:proofErr w:type="spellStart"/>
      <w:r w:rsidRPr="00595E70">
        <w:t>Bengoetxea</w:t>
      </w:r>
      <w:proofErr w:type="spellEnd"/>
      <w:r w:rsidRPr="00595E70">
        <w:t xml:space="preserve">, McCormick and Moral Soriano, n </w:t>
      </w:r>
      <w:r>
        <w:fldChar w:fldCharType="begin"/>
      </w:r>
      <w:r>
        <w:instrText xml:space="preserve"> NOTEREF _Ref383615027 \h  \* MERGEFORMAT </w:instrText>
      </w:r>
      <w:r>
        <w:fldChar w:fldCharType="separate"/>
      </w:r>
      <w:r w:rsidR="00B201F7">
        <w:t>37</w:t>
      </w:r>
      <w:r>
        <w:fldChar w:fldCharType="end"/>
      </w:r>
      <w:r w:rsidRPr="00595E70">
        <w:t xml:space="preserve"> above, 67.</w:t>
      </w:r>
    </w:p>
  </w:footnote>
  <w:footnote w:id="152">
    <w:p w14:paraId="4CDDE79B" w14:textId="198FCA25" w:rsidR="003C568B" w:rsidRPr="00595E70" w:rsidRDefault="003C568B" w:rsidP="00351398">
      <w:pPr>
        <w:pStyle w:val="Footnote"/>
      </w:pPr>
      <w:r w:rsidRPr="00595E70">
        <w:rPr>
          <w:rStyle w:val="FootnoteReference"/>
        </w:rPr>
        <w:footnoteRef/>
      </w:r>
      <w:r>
        <w:tab/>
      </w:r>
      <w:r w:rsidRPr="00595E70">
        <w:t>C-466/1</w:t>
      </w:r>
      <w:r>
        <w:t xml:space="preserve">2 </w:t>
      </w:r>
      <w:proofErr w:type="spellStart"/>
      <w:r>
        <w:t>Svensson</w:t>
      </w:r>
      <w:proofErr w:type="spellEnd"/>
      <w:r>
        <w:t xml:space="preserve"> and others </w:t>
      </w:r>
      <w:r w:rsidRPr="00595E70">
        <w:t>(ECLI</w:t>
      </w:r>
      <w:proofErr w:type="gramStart"/>
      <w:r w:rsidRPr="00595E70">
        <w:t>:EU:C:2014:76</w:t>
      </w:r>
      <w:proofErr w:type="gramEnd"/>
      <w:r w:rsidRPr="00595E70">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00000002"/>
    <w:multiLevelType w:val="multilevel"/>
    <w:tmpl w:val="00000002"/>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nsid w:val="00000004"/>
    <w:multiLevelType w:val="multilevel"/>
    <w:tmpl w:val="00000004"/>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0000005"/>
    <w:multiLevelType w:val="multilevel"/>
    <w:tmpl w:val="00000005"/>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00000006"/>
    <w:multiLevelType w:val="multilevel"/>
    <w:tmpl w:val="00000006"/>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6">
    <w:nsid w:val="05443094"/>
    <w:multiLevelType w:val="hybridMultilevel"/>
    <w:tmpl w:val="C558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55077"/>
    <w:multiLevelType w:val="hybridMultilevel"/>
    <w:tmpl w:val="5BCC0850"/>
    <w:lvl w:ilvl="0" w:tplc="7240A3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53164F"/>
    <w:multiLevelType w:val="hybridMultilevel"/>
    <w:tmpl w:val="2522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9133E6"/>
    <w:multiLevelType w:val="hybridMultilevel"/>
    <w:tmpl w:val="8B6C3886"/>
    <w:lvl w:ilvl="0" w:tplc="7240A3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AE54D5"/>
    <w:multiLevelType w:val="hybridMultilevel"/>
    <w:tmpl w:val="88EC5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014925"/>
    <w:multiLevelType w:val="hybridMultilevel"/>
    <w:tmpl w:val="BBE23EC2"/>
    <w:lvl w:ilvl="0" w:tplc="0410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39A40DEF"/>
    <w:multiLevelType w:val="multilevel"/>
    <w:tmpl w:val="00000001"/>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40350324"/>
    <w:multiLevelType w:val="hybridMultilevel"/>
    <w:tmpl w:val="45D4670C"/>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385AF2"/>
    <w:multiLevelType w:val="hybridMultilevel"/>
    <w:tmpl w:val="9F96D94E"/>
    <w:lvl w:ilvl="0" w:tplc="7240A3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6546C9"/>
    <w:multiLevelType w:val="hybridMultilevel"/>
    <w:tmpl w:val="A9387ED8"/>
    <w:lvl w:ilvl="0" w:tplc="040C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D2E2A63"/>
    <w:multiLevelType w:val="hybridMultilevel"/>
    <w:tmpl w:val="005E7642"/>
    <w:lvl w:ilvl="0" w:tplc="BC36E7BE">
      <w:start w:val="8"/>
      <w:numFmt w:val="decimal"/>
      <w:lvlText w:val="%1."/>
      <w:lvlJc w:val="left"/>
      <w:pPr>
        <w:ind w:left="720" w:hanging="360"/>
      </w:pPr>
      <w:rPr>
        <w:rFonts w:ascii="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5AE2FAB"/>
    <w:multiLevelType w:val="hybridMultilevel"/>
    <w:tmpl w:val="40D48912"/>
    <w:lvl w:ilvl="0" w:tplc="7166F688">
      <w:numFmt w:val="bullet"/>
      <w:lvlText w:val="-"/>
      <w:lvlJc w:val="left"/>
      <w:pPr>
        <w:ind w:left="720" w:hanging="360"/>
      </w:pPr>
      <w:rPr>
        <w:rFonts w:ascii="Calibri" w:eastAsiaTheme="minorEastAsia" w:hAnsi="Calibri" w:cstheme="minorBidi"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5FC7A76"/>
    <w:multiLevelType w:val="hybridMultilevel"/>
    <w:tmpl w:val="8F80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EB4A28"/>
    <w:multiLevelType w:val="hybridMultilevel"/>
    <w:tmpl w:val="4558A86C"/>
    <w:lvl w:ilvl="0" w:tplc="040C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73022BD"/>
    <w:multiLevelType w:val="hybridMultilevel"/>
    <w:tmpl w:val="DA1E499E"/>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nsid w:val="5E553A9E"/>
    <w:multiLevelType w:val="hybridMultilevel"/>
    <w:tmpl w:val="F378D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657FD1"/>
    <w:multiLevelType w:val="hybridMultilevel"/>
    <w:tmpl w:val="8A66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F66BD2"/>
    <w:multiLevelType w:val="hybridMultilevel"/>
    <w:tmpl w:val="68727BA6"/>
    <w:lvl w:ilvl="0" w:tplc="7240A39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EEE74E2"/>
    <w:multiLevelType w:val="hybridMultilevel"/>
    <w:tmpl w:val="C8027FBE"/>
    <w:lvl w:ilvl="0" w:tplc="7240A3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184420"/>
    <w:multiLevelType w:val="hybridMultilevel"/>
    <w:tmpl w:val="7DDC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2D5101"/>
    <w:multiLevelType w:val="hybridMultilevel"/>
    <w:tmpl w:val="C9925DE6"/>
    <w:lvl w:ilvl="0" w:tplc="7240A39A">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3"/>
  </w:num>
  <w:num w:numId="9">
    <w:abstractNumId w:val="19"/>
  </w:num>
  <w:num w:numId="10">
    <w:abstractNumId w:val="15"/>
  </w:num>
  <w:num w:numId="11">
    <w:abstractNumId w:val="12"/>
  </w:num>
  <w:num w:numId="12">
    <w:abstractNumId w:val="16"/>
  </w:num>
  <w:num w:numId="13">
    <w:abstractNumId w:val="6"/>
  </w:num>
  <w:num w:numId="14">
    <w:abstractNumId w:val="9"/>
  </w:num>
  <w:num w:numId="15">
    <w:abstractNumId w:val="26"/>
  </w:num>
  <w:num w:numId="16">
    <w:abstractNumId w:val="23"/>
  </w:num>
  <w:num w:numId="17">
    <w:abstractNumId w:val="25"/>
  </w:num>
  <w:num w:numId="18">
    <w:abstractNumId w:val="22"/>
  </w:num>
  <w:num w:numId="19">
    <w:abstractNumId w:val="17"/>
  </w:num>
  <w:num w:numId="20">
    <w:abstractNumId w:val="11"/>
  </w:num>
  <w:num w:numId="21">
    <w:abstractNumId w:val="20"/>
  </w:num>
  <w:num w:numId="22">
    <w:abstractNumId w:val="18"/>
  </w:num>
  <w:num w:numId="23">
    <w:abstractNumId w:val="8"/>
  </w:num>
  <w:num w:numId="24">
    <w:abstractNumId w:val="21"/>
  </w:num>
  <w:num w:numId="25">
    <w:abstractNumId w:val="14"/>
  </w:num>
  <w:num w:numId="26">
    <w:abstractNumId w:val="7"/>
  </w:num>
  <w:num w:numId="27">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Torremans">
    <w15:presenceInfo w15:providerId="Windows Live" w15:userId="68b152dc721c0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proofState w:spelling="clean" w:grammar="clean"/>
  <w:defaultTabStop w:val="709"/>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A5E"/>
    <w:rsid w:val="00002A9A"/>
    <w:rsid w:val="00004AE5"/>
    <w:rsid w:val="0000778B"/>
    <w:rsid w:val="00007A06"/>
    <w:rsid w:val="00007E56"/>
    <w:rsid w:val="00010BD8"/>
    <w:rsid w:val="00014939"/>
    <w:rsid w:val="00016D43"/>
    <w:rsid w:val="0002099B"/>
    <w:rsid w:val="00021F25"/>
    <w:rsid w:val="00022B1E"/>
    <w:rsid w:val="000234F9"/>
    <w:rsid w:val="000249CF"/>
    <w:rsid w:val="000270A3"/>
    <w:rsid w:val="00027404"/>
    <w:rsid w:val="0003047A"/>
    <w:rsid w:val="00030A58"/>
    <w:rsid w:val="000319E3"/>
    <w:rsid w:val="000324ED"/>
    <w:rsid w:val="000344E1"/>
    <w:rsid w:val="00047FBB"/>
    <w:rsid w:val="00050E99"/>
    <w:rsid w:val="00054875"/>
    <w:rsid w:val="00054F2A"/>
    <w:rsid w:val="00055E67"/>
    <w:rsid w:val="0006116D"/>
    <w:rsid w:val="00062829"/>
    <w:rsid w:val="00063749"/>
    <w:rsid w:val="0006375F"/>
    <w:rsid w:val="0006397F"/>
    <w:rsid w:val="00065A45"/>
    <w:rsid w:val="00067165"/>
    <w:rsid w:val="000728E8"/>
    <w:rsid w:val="0007299C"/>
    <w:rsid w:val="00073B8A"/>
    <w:rsid w:val="00074BCB"/>
    <w:rsid w:val="0007762E"/>
    <w:rsid w:val="000807B4"/>
    <w:rsid w:val="00080C03"/>
    <w:rsid w:val="00082292"/>
    <w:rsid w:val="0008442F"/>
    <w:rsid w:val="00084645"/>
    <w:rsid w:val="000868D5"/>
    <w:rsid w:val="0008734B"/>
    <w:rsid w:val="00091F84"/>
    <w:rsid w:val="000931D7"/>
    <w:rsid w:val="0009493F"/>
    <w:rsid w:val="0009540D"/>
    <w:rsid w:val="00096DAD"/>
    <w:rsid w:val="000A699F"/>
    <w:rsid w:val="000B2DCF"/>
    <w:rsid w:val="000B2E0E"/>
    <w:rsid w:val="000B39F3"/>
    <w:rsid w:val="000C0423"/>
    <w:rsid w:val="000C19E1"/>
    <w:rsid w:val="000C27EE"/>
    <w:rsid w:val="000C31A6"/>
    <w:rsid w:val="000C3304"/>
    <w:rsid w:val="000C4A7A"/>
    <w:rsid w:val="000C59EA"/>
    <w:rsid w:val="000C5A34"/>
    <w:rsid w:val="000C5DC4"/>
    <w:rsid w:val="000D3280"/>
    <w:rsid w:val="000D68E4"/>
    <w:rsid w:val="000D6B2C"/>
    <w:rsid w:val="000D706B"/>
    <w:rsid w:val="000D70E1"/>
    <w:rsid w:val="000E1E6E"/>
    <w:rsid w:val="000E4A43"/>
    <w:rsid w:val="000E59E7"/>
    <w:rsid w:val="000E6439"/>
    <w:rsid w:val="000E7CB5"/>
    <w:rsid w:val="000F0B18"/>
    <w:rsid w:val="001012F7"/>
    <w:rsid w:val="001045A9"/>
    <w:rsid w:val="0010552E"/>
    <w:rsid w:val="00106B58"/>
    <w:rsid w:val="00106CD8"/>
    <w:rsid w:val="001076CF"/>
    <w:rsid w:val="001132EF"/>
    <w:rsid w:val="001145E8"/>
    <w:rsid w:val="00114E90"/>
    <w:rsid w:val="00116734"/>
    <w:rsid w:val="00124B08"/>
    <w:rsid w:val="001265D3"/>
    <w:rsid w:val="0013004D"/>
    <w:rsid w:val="001337CD"/>
    <w:rsid w:val="0013625C"/>
    <w:rsid w:val="00136548"/>
    <w:rsid w:val="00136AB4"/>
    <w:rsid w:val="0014095E"/>
    <w:rsid w:val="001431E9"/>
    <w:rsid w:val="00143625"/>
    <w:rsid w:val="00151500"/>
    <w:rsid w:val="00151ABF"/>
    <w:rsid w:val="00152BDB"/>
    <w:rsid w:val="00154D99"/>
    <w:rsid w:val="00155787"/>
    <w:rsid w:val="00155C87"/>
    <w:rsid w:val="001620CB"/>
    <w:rsid w:val="00164B14"/>
    <w:rsid w:val="00165873"/>
    <w:rsid w:val="001658A1"/>
    <w:rsid w:val="0016681D"/>
    <w:rsid w:val="001678D6"/>
    <w:rsid w:val="00167A93"/>
    <w:rsid w:val="00171937"/>
    <w:rsid w:val="00172CFC"/>
    <w:rsid w:val="00181C62"/>
    <w:rsid w:val="00183936"/>
    <w:rsid w:val="00184C2E"/>
    <w:rsid w:val="00185E52"/>
    <w:rsid w:val="00190E0D"/>
    <w:rsid w:val="00193757"/>
    <w:rsid w:val="001A0AFB"/>
    <w:rsid w:val="001A15FE"/>
    <w:rsid w:val="001A1C63"/>
    <w:rsid w:val="001A2558"/>
    <w:rsid w:val="001A28BE"/>
    <w:rsid w:val="001A3B28"/>
    <w:rsid w:val="001A50D6"/>
    <w:rsid w:val="001A599A"/>
    <w:rsid w:val="001A674F"/>
    <w:rsid w:val="001B547F"/>
    <w:rsid w:val="001C5915"/>
    <w:rsid w:val="001C7874"/>
    <w:rsid w:val="001D08E5"/>
    <w:rsid w:val="001D112F"/>
    <w:rsid w:val="001D2A74"/>
    <w:rsid w:val="001D40AF"/>
    <w:rsid w:val="001D46F9"/>
    <w:rsid w:val="001D611E"/>
    <w:rsid w:val="001E0862"/>
    <w:rsid w:val="001E098F"/>
    <w:rsid w:val="001E1BFF"/>
    <w:rsid w:val="001E712E"/>
    <w:rsid w:val="001F3230"/>
    <w:rsid w:val="001F5EAD"/>
    <w:rsid w:val="001F6997"/>
    <w:rsid w:val="00200585"/>
    <w:rsid w:val="00202734"/>
    <w:rsid w:val="002042DC"/>
    <w:rsid w:val="00204528"/>
    <w:rsid w:val="002055C3"/>
    <w:rsid w:val="00206A6C"/>
    <w:rsid w:val="002076D4"/>
    <w:rsid w:val="0021061F"/>
    <w:rsid w:val="0021076A"/>
    <w:rsid w:val="00212BD0"/>
    <w:rsid w:val="00212DFC"/>
    <w:rsid w:val="00213102"/>
    <w:rsid w:val="00214EF7"/>
    <w:rsid w:val="00217838"/>
    <w:rsid w:val="00217ACB"/>
    <w:rsid w:val="00220067"/>
    <w:rsid w:val="00220725"/>
    <w:rsid w:val="00220AAB"/>
    <w:rsid w:val="00221A6A"/>
    <w:rsid w:val="002267CD"/>
    <w:rsid w:val="0022696F"/>
    <w:rsid w:val="002272FD"/>
    <w:rsid w:val="00230D61"/>
    <w:rsid w:val="00234B5A"/>
    <w:rsid w:val="00235D24"/>
    <w:rsid w:val="00237596"/>
    <w:rsid w:val="002377A4"/>
    <w:rsid w:val="00242274"/>
    <w:rsid w:val="00243716"/>
    <w:rsid w:val="00251975"/>
    <w:rsid w:val="00251AD0"/>
    <w:rsid w:val="00251F0B"/>
    <w:rsid w:val="0025237B"/>
    <w:rsid w:val="0025599A"/>
    <w:rsid w:val="0025610B"/>
    <w:rsid w:val="00256C2B"/>
    <w:rsid w:val="0026246A"/>
    <w:rsid w:val="0026298F"/>
    <w:rsid w:val="00262E7D"/>
    <w:rsid w:val="002642B8"/>
    <w:rsid w:val="002672B5"/>
    <w:rsid w:val="0027016E"/>
    <w:rsid w:val="0027041D"/>
    <w:rsid w:val="00271960"/>
    <w:rsid w:val="00272727"/>
    <w:rsid w:val="00273302"/>
    <w:rsid w:val="00274315"/>
    <w:rsid w:val="0027541C"/>
    <w:rsid w:val="0027632B"/>
    <w:rsid w:val="00277559"/>
    <w:rsid w:val="002775B0"/>
    <w:rsid w:val="00277CCE"/>
    <w:rsid w:val="00277EE4"/>
    <w:rsid w:val="002859E4"/>
    <w:rsid w:val="002915BE"/>
    <w:rsid w:val="00292AC0"/>
    <w:rsid w:val="00293565"/>
    <w:rsid w:val="00293653"/>
    <w:rsid w:val="00295BCB"/>
    <w:rsid w:val="002A2ECF"/>
    <w:rsid w:val="002A335B"/>
    <w:rsid w:val="002A573B"/>
    <w:rsid w:val="002A6BEB"/>
    <w:rsid w:val="002A7148"/>
    <w:rsid w:val="002B0EBD"/>
    <w:rsid w:val="002B2DB6"/>
    <w:rsid w:val="002B3AE0"/>
    <w:rsid w:val="002B6338"/>
    <w:rsid w:val="002B78DD"/>
    <w:rsid w:val="002C0747"/>
    <w:rsid w:val="002C626F"/>
    <w:rsid w:val="002C6CB7"/>
    <w:rsid w:val="002C70AC"/>
    <w:rsid w:val="002C7974"/>
    <w:rsid w:val="002D10BB"/>
    <w:rsid w:val="002D2E0E"/>
    <w:rsid w:val="002E0DD9"/>
    <w:rsid w:val="002E221F"/>
    <w:rsid w:val="002E30B3"/>
    <w:rsid w:val="002E352B"/>
    <w:rsid w:val="002F1DAE"/>
    <w:rsid w:val="002F36B7"/>
    <w:rsid w:val="002F4D77"/>
    <w:rsid w:val="0030074D"/>
    <w:rsid w:val="0030222C"/>
    <w:rsid w:val="003064FC"/>
    <w:rsid w:val="00306878"/>
    <w:rsid w:val="00307A04"/>
    <w:rsid w:val="00310750"/>
    <w:rsid w:val="003128CB"/>
    <w:rsid w:val="00314524"/>
    <w:rsid w:val="0031636D"/>
    <w:rsid w:val="00316F8F"/>
    <w:rsid w:val="0031765F"/>
    <w:rsid w:val="00324EF8"/>
    <w:rsid w:val="00324F5A"/>
    <w:rsid w:val="003252F7"/>
    <w:rsid w:val="00330AF5"/>
    <w:rsid w:val="00332A19"/>
    <w:rsid w:val="0033363B"/>
    <w:rsid w:val="003336D4"/>
    <w:rsid w:val="00335F88"/>
    <w:rsid w:val="00336396"/>
    <w:rsid w:val="00342BE7"/>
    <w:rsid w:val="00344417"/>
    <w:rsid w:val="003446BD"/>
    <w:rsid w:val="00347CBA"/>
    <w:rsid w:val="00347F7F"/>
    <w:rsid w:val="00351398"/>
    <w:rsid w:val="0035446E"/>
    <w:rsid w:val="0035493E"/>
    <w:rsid w:val="00357586"/>
    <w:rsid w:val="00361208"/>
    <w:rsid w:val="00363777"/>
    <w:rsid w:val="00364BF5"/>
    <w:rsid w:val="00365A3A"/>
    <w:rsid w:val="0036688C"/>
    <w:rsid w:val="003757A7"/>
    <w:rsid w:val="003769A4"/>
    <w:rsid w:val="003838AA"/>
    <w:rsid w:val="00385E23"/>
    <w:rsid w:val="00385E34"/>
    <w:rsid w:val="00386BF1"/>
    <w:rsid w:val="00387668"/>
    <w:rsid w:val="00392E1F"/>
    <w:rsid w:val="00393120"/>
    <w:rsid w:val="003945EA"/>
    <w:rsid w:val="00394D70"/>
    <w:rsid w:val="00397D22"/>
    <w:rsid w:val="003A4FCF"/>
    <w:rsid w:val="003A51C7"/>
    <w:rsid w:val="003A6C58"/>
    <w:rsid w:val="003A7018"/>
    <w:rsid w:val="003B0C75"/>
    <w:rsid w:val="003B1079"/>
    <w:rsid w:val="003B1592"/>
    <w:rsid w:val="003B2D9A"/>
    <w:rsid w:val="003B34AB"/>
    <w:rsid w:val="003B5154"/>
    <w:rsid w:val="003B563B"/>
    <w:rsid w:val="003B67E0"/>
    <w:rsid w:val="003B70EE"/>
    <w:rsid w:val="003B7E0A"/>
    <w:rsid w:val="003C0842"/>
    <w:rsid w:val="003C2813"/>
    <w:rsid w:val="003C293F"/>
    <w:rsid w:val="003C411F"/>
    <w:rsid w:val="003C5453"/>
    <w:rsid w:val="003C568B"/>
    <w:rsid w:val="003D0F2A"/>
    <w:rsid w:val="003D2A5E"/>
    <w:rsid w:val="003D4B0D"/>
    <w:rsid w:val="003D50B8"/>
    <w:rsid w:val="003D5D42"/>
    <w:rsid w:val="003D71D7"/>
    <w:rsid w:val="003D75B5"/>
    <w:rsid w:val="003D7AC6"/>
    <w:rsid w:val="003E18E9"/>
    <w:rsid w:val="003E34D0"/>
    <w:rsid w:val="003E4DE5"/>
    <w:rsid w:val="003F1CFF"/>
    <w:rsid w:val="003F2DCA"/>
    <w:rsid w:val="003F52A4"/>
    <w:rsid w:val="003F5B1F"/>
    <w:rsid w:val="003F5F10"/>
    <w:rsid w:val="00400241"/>
    <w:rsid w:val="0040342A"/>
    <w:rsid w:val="00403A0B"/>
    <w:rsid w:val="00404E51"/>
    <w:rsid w:val="00405725"/>
    <w:rsid w:val="00407DF4"/>
    <w:rsid w:val="00410F55"/>
    <w:rsid w:val="0041248D"/>
    <w:rsid w:val="004142D7"/>
    <w:rsid w:val="00414F76"/>
    <w:rsid w:val="00415137"/>
    <w:rsid w:val="00423D21"/>
    <w:rsid w:val="0042413C"/>
    <w:rsid w:val="00424B7E"/>
    <w:rsid w:val="0044079D"/>
    <w:rsid w:val="004420BA"/>
    <w:rsid w:val="004465B1"/>
    <w:rsid w:val="0045435F"/>
    <w:rsid w:val="004571F4"/>
    <w:rsid w:val="0046214C"/>
    <w:rsid w:val="00462B00"/>
    <w:rsid w:val="00466657"/>
    <w:rsid w:val="00470EB3"/>
    <w:rsid w:val="00474E6F"/>
    <w:rsid w:val="00474FDA"/>
    <w:rsid w:val="004751EA"/>
    <w:rsid w:val="00475AA4"/>
    <w:rsid w:val="0048586E"/>
    <w:rsid w:val="00485E5E"/>
    <w:rsid w:val="0048685F"/>
    <w:rsid w:val="00487794"/>
    <w:rsid w:val="00492327"/>
    <w:rsid w:val="00494928"/>
    <w:rsid w:val="004965C2"/>
    <w:rsid w:val="004967C5"/>
    <w:rsid w:val="004977A7"/>
    <w:rsid w:val="004A48A1"/>
    <w:rsid w:val="004A66C3"/>
    <w:rsid w:val="004B0B71"/>
    <w:rsid w:val="004B0D68"/>
    <w:rsid w:val="004B5BDC"/>
    <w:rsid w:val="004C4D98"/>
    <w:rsid w:val="004C5E00"/>
    <w:rsid w:val="004D23FD"/>
    <w:rsid w:val="004D3179"/>
    <w:rsid w:val="004D3B9F"/>
    <w:rsid w:val="004D68C3"/>
    <w:rsid w:val="004D79C0"/>
    <w:rsid w:val="004D7CDF"/>
    <w:rsid w:val="004E4791"/>
    <w:rsid w:val="004F0306"/>
    <w:rsid w:val="004F38DB"/>
    <w:rsid w:val="004F6D2E"/>
    <w:rsid w:val="00500D63"/>
    <w:rsid w:val="00504701"/>
    <w:rsid w:val="005053B3"/>
    <w:rsid w:val="0050586A"/>
    <w:rsid w:val="00506EE9"/>
    <w:rsid w:val="00511C77"/>
    <w:rsid w:val="00515F04"/>
    <w:rsid w:val="00516B04"/>
    <w:rsid w:val="0052254B"/>
    <w:rsid w:val="00523876"/>
    <w:rsid w:val="00527457"/>
    <w:rsid w:val="005313E1"/>
    <w:rsid w:val="00531816"/>
    <w:rsid w:val="00532BC5"/>
    <w:rsid w:val="0053328F"/>
    <w:rsid w:val="00546CE7"/>
    <w:rsid w:val="00553C88"/>
    <w:rsid w:val="005553F4"/>
    <w:rsid w:val="0055599D"/>
    <w:rsid w:val="00557764"/>
    <w:rsid w:val="005600E6"/>
    <w:rsid w:val="00563102"/>
    <w:rsid w:val="0056409E"/>
    <w:rsid w:val="00570A69"/>
    <w:rsid w:val="00575826"/>
    <w:rsid w:val="00575BFC"/>
    <w:rsid w:val="005768DB"/>
    <w:rsid w:val="0057742D"/>
    <w:rsid w:val="005818AE"/>
    <w:rsid w:val="00582368"/>
    <w:rsid w:val="00582904"/>
    <w:rsid w:val="005834BB"/>
    <w:rsid w:val="00591460"/>
    <w:rsid w:val="005931F8"/>
    <w:rsid w:val="00593F04"/>
    <w:rsid w:val="00595E70"/>
    <w:rsid w:val="00596B64"/>
    <w:rsid w:val="00597C12"/>
    <w:rsid w:val="005A0F19"/>
    <w:rsid w:val="005A4A5E"/>
    <w:rsid w:val="005A64CE"/>
    <w:rsid w:val="005B1F43"/>
    <w:rsid w:val="005B4B3A"/>
    <w:rsid w:val="005B5EDC"/>
    <w:rsid w:val="005C11F9"/>
    <w:rsid w:val="005C3F5D"/>
    <w:rsid w:val="005C59B1"/>
    <w:rsid w:val="005C5ADE"/>
    <w:rsid w:val="005D557F"/>
    <w:rsid w:val="005E0F2B"/>
    <w:rsid w:val="005E35C6"/>
    <w:rsid w:val="005E55C4"/>
    <w:rsid w:val="005E6F20"/>
    <w:rsid w:val="005F15B9"/>
    <w:rsid w:val="005F16E6"/>
    <w:rsid w:val="005F664A"/>
    <w:rsid w:val="005F7BE0"/>
    <w:rsid w:val="00600B95"/>
    <w:rsid w:val="00601018"/>
    <w:rsid w:val="00601894"/>
    <w:rsid w:val="00601FDC"/>
    <w:rsid w:val="00602103"/>
    <w:rsid w:val="0060474F"/>
    <w:rsid w:val="00605E7A"/>
    <w:rsid w:val="006104B6"/>
    <w:rsid w:val="006126A0"/>
    <w:rsid w:val="00612AF9"/>
    <w:rsid w:val="0062120F"/>
    <w:rsid w:val="00622D09"/>
    <w:rsid w:val="006233B1"/>
    <w:rsid w:val="00624E21"/>
    <w:rsid w:val="00633EB6"/>
    <w:rsid w:val="00637E7D"/>
    <w:rsid w:val="00640C2F"/>
    <w:rsid w:val="0064719E"/>
    <w:rsid w:val="00651136"/>
    <w:rsid w:val="006516DA"/>
    <w:rsid w:val="00651EB7"/>
    <w:rsid w:val="00652EC0"/>
    <w:rsid w:val="006539EC"/>
    <w:rsid w:val="00654CAD"/>
    <w:rsid w:val="0065549A"/>
    <w:rsid w:val="00656691"/>
    <w:rsid w:val="00660A06"/>
    <w:rsid w:val="0066160E"/>
    <w:rsid w:val="00661C7F"/>
    <w:rsid w:val="00662B8E"/>
    <w:rsid w:val="00663599"/>
    <w:rsid w:val="00667CE4"/>
    <w:rsid w:val="00670519"/>
    <w:rsid w:val="00672918"/>
    <w:rsid w:val="00672AAC"/>
    <w:rsid w:val="00677673"/>
    <w:rsid w:val="00680B3A"/>
    <w:rsid w:val="00683B55"/>
    <w:rsid w:val="006857D4"/>
    <w:rsid w:val="0068739E"/>
    <w:rsid w:val="00687B57"/>
    <w:rsid w:val="006926EA"/>
    <w:rsid w:val="0069332A"/>
    <w:rsid w:val="0069425F"/>
    <w:rsid w:val="006956C1"/>
    <w:rsid w:val="00696D7E"/>
    <w:rsid w:val="006A1AE3"/>
    <w:rsid w:val="006A37A5"/>
    <w:rsid w:val="006A6621"/>
    <w:rsid w:val="006A7984"/>
    <w:rsid w:val="006B02B0"/>
    <w:rsid w:val="006B0756"/>
    <w:rsid w:val="006B173F"/>
    <w:rsid w:val="006B3B9A"/>
    <w:rsid w:val="006B6C84"/>
    <w:rsid w:val="006C2A0B"/>
    <w:rsid w:val="006C538C"/>
    <w:rsid w:val="006C699A"/>
    <w:rsid w:val="006C7634"/>
    <w:rsid w:val="006D06E8"/>
    <w:rsid w:val="006D2519"/>
    <w:rsid w:val="006D4A73"/>
    <w:rsid w:val="006D58C5"/>
    <w:rsid w:val="006D7361"/>
    <w:rsid w:val="006D778D"/>
    <w:rsid w:val="006D7A71"/>
    <w:rsid w:val="006E2255"/>
    <w:rsid w:val="006E3921"/>
    <w:rsid w:val="006E3D27"/>
    <w:rsid w:val="006F15D9"/>
    <w:rsid w:val="006F5584"/>
    <w:rsid w:val="006F6380"/>
    <w:rsid w:val="0070076C"/>
    <w:rsid w:val="007014AC"/>
    <w:rsid w:val="007043F4"/>
    <w:rsid w:val="00705347"/>
    <w:rsid w:val="00707453"/>
    <w:rsid w:val="0071031C"/>
    <w:rsid w:val="00712C66"/>
    <w:rsid w:val="00717DC4"/>
    <w:rsid w:val="00721BC2"/>
    <w:rsid w:val="00721FD8"/>
    <w:rsid w:val="0072603D"/>
    <w:rsid w:val="00730ECC"/>
    <w:rsid w:val="00732221"/>
    <w:rsid w:val="007337D1"/>
    <w:rsid w:val="00740C71"/>
    <w:rsid w:val="00743964"/>
    <w:rsid w:val="00743DB6"/>
    <w:rsid w:val="00751B70"/>
    <w:rsid w:val="007533D3"/>
    <w:rsid w:val="00760639"/>
    <w:rsid w:val="00760F4A"/>
    <w:rsid w:val="00763433"/>
    <w:rsid w:val="0076350D"/>
    <w:rsid w:val="00764196"/>
    <w:rsid w:val="007766CE"/>
    <w:rsid w:val="007804CC"/>
    <w:rsid w:val="00781037"/>
    <w:rsid w:val="007819F4"/>
    <w:rsid w:val="00783635"/>
    <w:rsid w:val="007839A3"/>
    <w:rsid w:val="00784D65"/>
    <w:rsid w:val="00787774"/>
    <w:rsid w:val="007929DA"/>
    <w:rsid w:val="00794CF6"/>
    <w:rsid w:val="00796299"/>
    <w:rsid w:val="007A2B28"/>
    <w:rsid w:val="007A4840"/>
    <w:rsid w:val="007A4DE6"/>
    <w:rsid w:val="007A526F"/>
    <w:rsid w:val="007A5381"/>
    <w:rsid w:val="007A5F6E"/>
    <w:rsid w:val="007A78CD"/>
    <w:rsid w:val="007B0574"/>
    <w:rsid w:val="007B3654"/>
    <w:rsid w:val="007B7209"/>
    <w:rsid w:val="007C1855"/>
    <w:rsid w:val="007C27B1"/>
    <w:rsid w:val="007C57A3"/>
    <w:rsid w:val="007C5CC0"/>
    <w:rsid w:val="007C708D"/>
    <w:rsid w:val="007D0A67"/>
    <w:rsid w:val="007D4F16"/>
    <w:rsid w:val="007D50BC"/>
    <w:rsid w:val="007D5A28"/>
    <w:rsid w:val="007E43F5"/>
    <w:rsid w:val="007F0468"/>
    <w:rsid w:val="007F416A"/>
    <w:rsid w:val="007F7442"/>
    <w:rsid w:val="007F7FB9"/>
    <w:rsid w:val="008037FD"/>
    <w:rsid w:val="00807A8C"/>
    <w:rsid w:val="008104D0"/>
    <w:rsid w:val="0081176A"/>
    <w:rsid w:val="0081544F"/>
    <w:rsid w:val="00816490"/>
    <w:rsid w:val="00823267"/>
    <w:rsid w:val="008235B3"/>
    <w:rsid w:val="00824076"/>
    <w:rsid w:val="00824388"/>
    <w:rsid w:val="0082665F"/>
    <w:rsid w:val="00834DAB"/>
    <w:rsid w:val="008474A1"/>
    <w:rsid w:val="00847591"/>
    <w:rsid w:val="0085033C"/>
    <w:rsid w:val="00851807"/>
    <w:rsid w:val="00851BF9"/>
    <w:rsid w:val="008528E5"/>
    <w:rsid w:val="00856422"/>
    <w:rsid w:val="00857394"/>
    <w:rsid w:val="00867B6A"/>
    <w:rsid w:val="0087049C"/>
    <w:rsid w:val="0087209B"/>
    <w:rsid w:val="00873415"/>
    <w:rsid w:val="0087380E"/>
    <w:rsid w:val="0087577B"/>
    <w:rsid w:val="00875B8D"/>
    <w:rsid w:val="00876211"/>
    <w:rsid w:val="0087797D"/>
    <w:rsid w:val="0088039E"/>
    <w:rsid w:val="00880BE0"/>
    <w:rsid w:val="00884A7F"/>
    <w:rsid w:val="008903F1"/>
    <w:rsid w:val="0089090E"/>
    <w:rsid w:val="00890E84"/>
    <w:rsid w:val="008913F8"/>
    <w:rsid w:val="00894C8F"/>
    <w:rsid w:val="008B0167"/>
    <w:rsid w:val="008B522F"/>
    <w:rsid w:val="008B570A"/>
    <w:rsid w:val="008B6D51"/>
    <w:rsid w:val="008D0D07"/>
    <w:rsid w:val="008D2BA1"/>
    <w:rsid w:val="008D3DA8"/>
    <w:rsid w:val="008D76E8"/>
    <w:rsid w:val="008D785E"/>
    <w:rsid w:val="008D7E0F"/>
    <w:rsid w:val="008E1784"/>
    <w:rsid w:val="008E26E7"/>
    <w:rsid w:val="008E4573"/>
    <w:rsid w:val="008E71F3"/>
    <w:rsid w:val="008E7A8A"/>
    <w:rsid w:val="008E7A9E"/>
    <w:rsid w:val="008F06A3"/>
    <w:rsid w:val="008F0EDA"/>
    <w:rsid w:val="008F1681"/>
    <w:rsid w:val="008F29E6"/>
    <w:rsid w:val="008F42EC"/>
    <w:rsid w:val="008F4C31"/>
    <w:rsid w:val="008F7B03"/>
    <w:rsid w:val="00903425"/>
    <w:rsid w:val="009041E1"/>
    <w:rsid w:val="00907B64"/>
    <w:rsid w:val="00910046"/>
    <w:rsid w:val="00910CCE"/>
    <w:rsid w:val="00910D5D"/>
    <w:rsid w:val="00916AEB"/>
    <w:rsid w:val="00920A3C"/>
    <w:rsid w:val="009212A9"/>
    <w:rsid w:val="00922FA7"/>
    <w:rsid w:val="00923364"/>
    <w:rsid w:val="0092466F"/>
    <w:rsid w:val="009255C0"/>
    <w:rsid w:val="00930525"/>
    <w:rsid w:val="0093178F"/>
    <w:rsid w:val="0093270C"/>
    <w:rsid w:val="00935147"/>
    <w:rsid w:val="00937342"/>
    <w:rsid w:val="00937D98"/>
    <w:rsid w:val="00947216"/>
    <w:rsid w:val="00950818"/>
    <w:rsid w:val="00950BCB"/>
    <w:rsid w:val="00950E3F"/>
    <w:rsid w:val="00951B96"/>
    <w:rsid w:val="00957FF7"/>
    <w:rsid w:val="00964824"/>
    <w:rsid w:val="0096505F"/>
    <w:rsid w:val="009661C4"/>
    <w:rsid w:val="0096632A"/>
    <w:rsid w:val="0096700F"/>
    <w:rsid w:val="00971622"/>
    <w:rsid w:val="00971C6D"/>
    <w:rsid w:val="00972972"/>
    <w:rsid w:val="00973367"/>
    <w:rsid w:val="00975314"/>
    <w:rsid w:val="00976440"/>
    <w:rsid w:val="009772B4"/>
    <w:rsid w:val="0098042B"/>
    <w:rsid w:val="00981034"/>
    <w:rsid w:val="009838BB"/>
    <w:rsid w:val="00983FBF"/>
    <w:rsid w:val="009850BB"/>
    <w:rsid w:val="00987DDF"/>
    <w:rsid w:val="009904E2"/>
    <w:rsid w:val="009906A0"/>
    <w:rsid w:val="00992A2F"/>
    <w:rsid w:val="00992C85"/>
    <w:rsid w:val="00992E7C"/>
    <w:rsid w:val="00997856"/>
    <w:rsid w:val="009A0C04"/>
    <w:rsid w:val="009A3AB2"/>
    <w:rsid w:val="009A64A2"/>
    <w:rsid w:val="009A6580"/>
    <w:rsid w:val="009A6D2A"/>
    <w:rsid w:val="009B0487"/>
    <w:rsid w:val="009B2715"/>
    <w:rsid w:val="009B328D"/>
    <w:rsid w:val="009B472C"/>
    <w:rsid w:val="009B6566"/>
    <w:rsid w:val="009B73EA"/>
    <w:rsid w:val="009C14F5"/>
    <w:rsid w:val="009C2C0E"/>
    <w:rsid w:val="009C57BF"/>
    <w:rsid w:val="009C5A49"/>
    <w:rsid w:val="009D0716"/>
    <w:rsid w:val="009D0CC2"/>
    <w:rsid w:val="009D149B"/>
    <w:rsid w:val="009D5BAD"/>
    <w:rsid w:val="009D5C5C"/>
    <w:rsid w:val="009D5CE9"/>
    <w:rsid w:val="009D6180"/>
    <w:rsid w:val="009D79CB"/>
    <w:rsid w:val="009E024B"/>
    <w:rsid w:val="009E2C2D"/>
    <w:rsid w:val="009E39D8"/>
    <w:rsid w:val="009F0E07"/>
    <w:rsid w:val="009F2AE6"/>
    <w:rsid w:val="009F5A96"/>
    <w:rsid w:val="009F7A01"/>
    <w:rsid w:val="00A00AB4"/>
    <w:rsid w:val="00A03F48"/>
    <w:rsid w:val="00A0457E"/>
    <w:rsid w:val="00A11A78"/>
    <w:rsid w:val="00A11C67"/>
    <w:rsid w:val="00A148BA"/>
    <w:rsid w:val="00A1576C"/>
    <w:rsid w:val="00A16065"/>
    <w:rsid w:val="00A16752"/>
    <w:rsid w:val="00A17B13"/>
    <w:rsid w:val="00A20EB6"/>
    <w:rsid w:val="00A210F5"/>
    <w:rsid w:val="00A21EB8"/>
    <w:rsid w:val="00A25084"/>
    <w:rsid w:val="00A26532"/>
    <w:rsid w:val="00A30AB9"/>
    <w:rsid w:val="00A352C1"/>
    <w:rsid w:val="00A40D42"/>
    <w:rsid w:val="00A41550"/>
    <w:rsid w:val="00A41825"/>
    <w:rsid w:val="00A41EC4"/>
    <w:rsid w:val="00A42FAF"/>
    <w:rsid w:val="00A44ACB"/>
    <w:rsid w:val="00A44AD5"/>
    <w:rsid w:val="00A47120"/>
    <w:rsid w:val="00A50098"/>
    <w:rsid w:val="00A513AB"/>
    <w:rsid w:val="00A519F0"/>
    <w:rsid w:val="00A5313F"/>
    <w:rsid w:val="00A6094B"/>
    <w:rsid w:val="00A61359"/>
    <w:rsid w:val="00A6340E"/>
    <w:rsid w:val="00A641DA"/>
    <w:rsid w:val="00A64859"/>
    <w:rsid w:val="00A650A0"/>
    <w:rsid w:val="00A65497"/>
    <w:rsid w:val="00A6550A"/>
    <w:rsid w:val="00A65C2B"/>
    <w:rsid w:val="00A7027B"/>
    <w:rsid w:val="00A70EBA"/>
    <w:rsid w:val="00A74623"/>
    <w:rsid w:val="00A82923"/>
    <w:rsid w:val="00A84107"/>
    <w:rsid w:val="00A860B3"/>
    <w:rsid w:val="00AA0417"/>
    <w:rsid w:val="00AA32CC"/>
    <w:rsid w:val="00AA372B"/>
    <w:rsid w:val="00AB4471"/>
    <w:rsid w:val="00AB5073"/>
    <w:rsid w:val="00AB542B"/>
    <w:rsid w:val="00AB58CE"/>
    <w:rsid w:val="00AB5AC3"/>
    <w:rsid w:val="00AB5B6A"/>
    <w:rsid w:val="00AB6BFB"/>
    <w:rsid w:val="00AC1D95"/>
    <w:rsid w:val="00AC2009"/>
    <w:rsid w:val="00AC24A7"/>
    <w:rsid w:val="00AC2535"/>
    <w:rsid w:val="00AC4477"/>
    <w:rsid w:val="00AD1382"/>
    <w:rsid w:val="00AD1EF1"/>
    <w:rsid w:val="00AD397D"/>
    <w:rsid w:val="00AD499D"/>
    <w:rsid w:val="00AD650C"/>
    <w:rsid w:val="00AE19AD"/>
    <w:rsid w:val="00AE5771"/>
    <w:rsid w:val="00AE5E31"/>
    <w:rsid w:val="00AE5E4F"/>
    <w:rsid w:val="00AE648A"/>
    <w:rsid w:val="00AF00BC"/>
    <w:rsid w:val="00AF0B09"/>
    <w:rsid w:val="00AF2A13"/>
    <w:rsid w:val="00AF392E"/>
    <w:rsid w:val="00AF41ED"/>
    <w:rsid w:val="00B00B5A"/>
    <w:rsid w:val="00B016B6"/>
    <w:rsid w:val="00B022E4"/>
    <w:rsid w:val="00B03A12"/>
    <w:rsid w:val="00B065F3"/>
    <w:rsid w:val="00B112B2"/>
    <w:rsid w:val="00B11BC4"/>
    <w:rsid w:val="00B13958"/>
    <w:rsid w:val="00B17572"/>
    <w:rsid w:val="00B201F7"/>
    <w:rsid w:val="00B206B8"/>
    <w:rsid w:val="00B23BEF"/>
    <w:rsid w:val="00B23EAB"/>
    <w:rsid w:val="00B263F3"/>
    <w:rsid w:val="00B26844"/>
    <w:rsid w:val="00B31C35"/>
    <w:rsid w:val="00B32404"/>
    <w:rsid w:val="00B3250E"/>
    <w:rsid w:val="00B32C5E"/>
    <w:rsid w:val="00B339A4"/>
    <w:rsid w:val="00B34A20"/>
    <w:rsid w:val="00B356EF"/>
    <w:rsid w:val="00B364CC"/>
    <w:rsid w:val="00B36ED8"/>
    <w:rsid w:val="00B37386"/>
    <w:rsid w:val="00B37DE1"/>
    <w:rsid w:val="00B37FD1"/>
    <w:rsid w:val="00B4236C"/>
    <w:rsid w:val="00B52E55"/>
    <w:rsid w:val="00B54309"/>
    <w:rsid w:val="00B57E9E"/>
    <w:rsid w:val="00B60D27"/>
    <w:rsid w:val="00B624C4"/>
    <w:rsid w:val="00B63424"/>
    <w:rsid w:val="00B63C5F"/>
    <w:rsid w:val="00B64050"/>
    <w:rsid w:val="00B652F5"/>
    <w:rsid w:val="00B66A56"/>
    <w:rsid w:val="00B718A1"/>
    <w:rsid w:val="00B74313"/>
    <w:rsid w:val="00B74BB2"/>
    <w:rsid w:val="00B77A77"/>
    <w:rsid w:val="00B80356"/>
    <w:rsid w:val="00B86606"/>
    <w:rsid w:val="00B87A57"/>
    <w:rsid w:val="00B9048A"/>
    <w:rsid w:val="00B91C6A"/>
    <w:rsid w:val="00B92871"/>
    <w:rsid w:val="00B92B57"/>
    <w:rsid w:val="00B93398"/>
    <w:rsid w:val="00B93F6B"/>
    <w:rsid w:val="00BA599B"/>
    <w:rsid w:val="00BA67C5"/>
    <w:rsid w:val="00BB03B2"/>
    <w:rsid w:val="00BB0A7A"/>
    <w:rsid w:val="00BB11F8"/>
    <w:rsid w:val="00BB3F10"/>
    <w:rsid w:val="00BB7481"/>
    <w:rsid w:val="00BC02FB"/>
    <w:rsid w:val="00BC1194"/>
    <w:rsid w:val="00BC13C7"/>
    <w:rsid w:val="00BC225C"/>
    <w:rsid w:val="00BC4356"/>
    <w:rsid w:val="00BC66CB"/>
    <w:rsid w:val="00BC7BF0"/>
    <w:rsid w:val="00BD1B30"/>
    <w:rsid w:val="00BD420E"/>
    <w:rsid w:val="00BD646B"/>
    <w:rsid w:val="00BD68AE"/>
    <w:rsid w:val="00BE4338"/>
    <w:rsid w:val="00BE543F"/>
    <w:rsid w:val="00BE58F0"/>
    <w:rsid w:val="00BE5B50"/>
    <w:rsid w:val="00BE7E0E"/>
    <w:rsid w:val="00BF000C"/>
    <w:rsid w:val="00BF2535"/>
    <w:rsid w:val="00BF44D8"/>
    <w:rsid w:val="00BF5FDF"/>
    <w:rsid w:val="00BF7633"/>
    <w:rsid w:val="00BF786F"/>
    <w:rsid w:val="00BF7E2B"/>
    <w:rsid w:val="00C0096C"/>
    <w:rsid w:val="00C00BB6"/>
    <w:rsid w:val="00C0332F"/>
    <w:rsid w:val="00C03DD4"/>
    <w:rsid w:val="00C05411"/>
    <w:rsid w:val="00C068FA"/>
    <w:rsid w:val="00C07C46"/>
    <w:rsid w:val="00C1019E"/>
    <w:rsid w:val="00C12320"/>
    <w:rsid w:val="00C133A8"/>
    <w:rsid w:val="00C13B46"/>
    <w:rsid w:val="00C140D8"/>
    <w:rsid w:val="00C168FA"/>
    <w:rsid w:val="00C21A39"/>
    <w:rsid w:val="00C232CE"/>
    <w:rsid w:val="00C25188"/>
    <w:rsid w:val="00C33DCA"/>
    <w:rsid w:val="00C3412D"/>
    <w:rsid w:val="00C35897"/>
    <w:rsid w:val="00C36268"/>
    <w:rsid w:val="00C412BB"/>
    <w:rsid w:val="00C426B5"/>
    <w:rsid w:val="00C44016"/>
    <w:rsid w:val="00C457F0"/>
    <w:rsid w:val="00C46C0E"/>
    <w:rsid w:val="00C47571"/>
    <w:rsid w:val="00C47760"/>
    <w:rsid w:val="00C57F6A"/>
    <w:rsid w:val="00C61688"/>
    <w:rsid w:val="00C62202"/>
    <w:rsid w:val="00C6707D"/>
    <w:rsid w:val="00C67199"/>
    <w:rsid w:val="00C73F7D"/>
    <w:rsid w:val="00C74F1A"/>
    <w:rsid w:val="00C81484"/>
    <w:rsid w:val="00C814E9"/>
    <w:rsid w:val="00C817B8"/>
    <w:rsid w:val="00C828FA"/>
    <w:rsid w:val="00C83280"/>
    <w:rsid w:val="00C83925"/>
    <w:rsid w:val="00C84476"/>
    <w:rsid w:val="00C8694E"/>
    <w:rsid w:val="00C919F1"/>
    <w:rsid w:val="00C91C62"/>
    <w:rsid w:val="00C9454B"/>
    <w:rsid w:val="00C94B42"/>
    <w:rsid w:val="00CA008C"/>
    <w:rsid w:val="00CA09A6"/>
    <w:rsid w:val="00CA35EC"/>
    <w:rsid w:val="00CA4DA0"/>
    <w:rsid w:val="00CA6699"/>
    <w:rsid w:val="00CA7EE4"/>
    <w:rsid w:val="00CB148A"/>
    <w:rsid w:val="00CB3084"/>
    <w:rsid w:val="00CB594F"/>
    <w:rsid w:val="00CC0525"/>
    <w:rsid w:val="00CC05B8"/>
    <w:rsid w:val="00CC3635"/>
    <w:rsid w:val="00CC5AD7"/>
    <w:rsid w:val="00CC7A11"/>
    <w:rsid w:val="00CD2355"/>
    <w:rsid w:val="00CD3886"/>
    <w:rsid w:val="00CD4847"/>
    <w:rsid w:val="00CD4E83"/>
    <w:rsid w:val="00CD541C"/>
    <w:rsid w:val="00CD7C48"/>
    <w:rsid w:val="00CE179E"/>
    <w:rsid w:val="00CE268E"/>
    <w:rsid w:val="00CE2C28"/>
    <w:rsid w:val="00CF0B96"/>
    <w:rsid w:val="00CF35E9"/>
    <w:rsid w:val="00D005F3"/>
    <w:rsid w:val="00D009EC"/>
    <w:rsid w:val="00D01DE2"/>
    <w:rsid w:val="00D05923"/>
    <w:rsid w:val="00D0680E"/>
    <w:rsid w:val="00D1005F"/>
    <w:rsid w:val="00D112FB"/>
    <w:rsid w:val="00D114C6"/>
    <w:rsid w:val="00D1370F"/>
    <w:rsid w:val="00D13A23"/>
    <w:rsid w:val="00D15E61"/>
    <w:rsid w:val="00D201C5"/>
    <w:rsid w:val="00D21E94"/>
    <w:rsid w:val="00D256FF"/>
    <w:rsid w:val="00D278FC"/>
    <w:rsid w:val="00D323CF"/>
    <w:rsid w:val="00D34186"/>
    <w:rsid w:val="00D35122"/>
    <w:rsid w:val="00D3528C"/>
    <w:rsid w:val="00D37A8D"/>
    <w:rsid w:val="00D41AA1"/>
    <w:rsid w:val="00D41B74"/>
    <w:rsid w:val="00D42AD6"/>
    <w:rsid w:val="00D455ED"/>
    <w:rsid w:val="00D479D4"/>
    <w:rsid w:val="00D50862"/>
    <w:rsid w:val="00D50BF6"/>
    <w:rsid w:val="00D52156"/>
    <w:rsid w:val="00D531EC"/>
    <w:rsid w:val="00D53934"/>
    <w:rsid w:val="00D54CF8"/>
    <w:rsid w:val="00D61D19"/>
    <w:rsid w:val="00D61E9F"/>
    <w:rsid w:val="00D62398"/>
    <w:rsid w:val="00D628D4"/>
    <w:rsid w:val="00D652F5"/>
    <w:rsid w:val="00D657F2"/>
    <w:rsid w:val="00D65C17"/>
    <w:rsid w:val="00D67653"/>
    <w:rsid w:val="00D67BD5"/>
    <w:rsid w:val="00D859EE"/>
    <w:rsid w:val="00D860A5"/>
    <w:rsid w:val="00D944E4"/>
    <w:rsid w:val="00D96DB7"/>
    <w:rsid w:val="00D97AD1"/>
    <w:rsid w:val="00DA02BC"/>
    <w:rsid w:val="00DA1E8D"/>
    <w:rsid w:val="00DA5862"/>
    <w:rsid w:val="00DA5870"/>
    <w:rsid w:val="00DA775A"/>
    <w:rsid w:val="00DA7F99"/>
    <w:rsid w:val="00DB7A81"/>
    <w:rsid w:val="00DC211C"/>
    <w:rsid w:val="00DC2D6A"/>
    <w:rsid w:val="00DC3D67"/>
    <w:rsid w:val="00DC4FB6"/>
    <w:rsid w:val="00DC6C56"/>
    <w:rsid w:val="00DC7E8C"/>
    <w:rsid w:val="00DD356B"/>
    <w:rsid w:val="00DD3E3D"/>
    <w:rsid w:val="00DD4DE8"/>
    <w:rsid w:val="00DD60E8"/>
    <w:rsid w:val="00DD667C"/>
    <w:rsid w:val="00DD6B9C"/>
    <w:rsid w:val="00DD7967"/>
    <w:rsid w:val="00DE0404"/>
    <w:rsid w:val="00DE0959"/>
    <w:rsid w:val="00DE17CF"/>
    <w:rsid w:val="00DE5DED"/>
    <w:rsid w:val="00DE69A1"/>
    <w:rsid w:val="00DF0693"/>
    <w:rsid w:val="00DF6E74"/>
    <w:rsid w:val="00E017F4"/>
    <w:rsid w:val="00E0492B"/>
    <w:rsid w:val="00E05B01"/>
    <w:rsid w:val="00E05F83"/>
    <w:rsid w:val="00E10FAA"/>
    <w:rsid w:val="00E130A3"/>
    <w:rsid w:val="00E24B5C"/>
    <w:rsid w:val="00E2562A"/>
    <w:rsid w:val="00E25762"/>
    <w:rsid w:val="00E30770"/>
    <w:rsid w:val="00E32974"/>
    <w:rsid w:val="00E34D9B"/>
    <w:rsid w:val="00E34EA2"/>
    <w:rsid w:val="00E36550"/>
    <w:rsid w:val="00E430DB"/>
    <w:rsid w:val="00E4545F"/>
    <w:rsid w:val="00E46E94"/>
    <w:rsid w:val="00E51417"/>
    <w:rsid w:val="00E54D20"/>
    <w:rsid w:val="00E553C6"/>
    <w:rsid w:val="00E57266"/>
    <w:rsid w:val="00E6100A"/>
    <w:rsid w:val="00E62D36"/>
    <w:rsid w:val="00E70EC2"/>
    <w:rsid w:val="00E71B6F"/>
    <w:rsid w:val="00E7204A"/>
    <w:rsid w:val="00E734A8"/>
    <w:rsid w:val="00E735A5"/>
    <w:rsid w:val="00E73CAE"/>
    <w:rsid w:val="00E74EF1"/>
    <w:rsid w:val="00E75BD9"/>
    <w:rsid w:val="00E76179"/>
    <w:rsid w:val="00E76912"/>
    <w:rsid w:val="00E778F2"/>
    <w:rsid w:val="00E81A41"/>
    <w:rsid w:val="00E84127"/>
    <w:rsid w:val="00E84969"/>
    <w:rsid w:val="00E9010B"/>
    <w:rsid w:val="00E90C6F"/>
    <w:rsid w:val="00E90FAB"/>
    <w:rsid w:val="00E91488"/>
    <w:rsid w:val="00E91CF2"/>
    <w:rsid w:val="00E92AE2"/>
    <w:rsid w:val="00E97A8A"/>
    <w:rsid w:val="00EA5850"/>
    <w:rsid w:val="00EA5A1B"/>
    <w:rsid w:val="00EA5AF5"/>
    <w:rsid w:val="00EA5ED3"/>
    <w:rsid w:val="00EA7CC3"/>
    <w:rsid w:val="00EB09DC"/>
    <w:rsid w:val="00EB1EC5"/>
    <w:rsid w:val="00EB3685"/>
    <w:rsid w:val="00EB5F61"/>
    <w:rsid w:val="00EC1DC8"/>
    <w:rsid w:val="00EC2A1D"/>
    <w:rsid w:val="00EC2A2E"/>
    <w:rsid w:val="00EC59BA"/>
    <w:rsid w:val="00ED07AF"/>
    <w:rsid w:val="00ED10DD"/>
    <w:rsid w:val="00ED1761"/>
    <w:rsid w:val="00ED1B57"/>
    <w:rsid w:val="00ED5637"/>
    <w:rsid w:val="00ED5AFB"/>
    <w:rsid w:val="00EE262F"/>
    <w:rsid w:val="00EE3765"/>
    <w:rsid w:val="00EF283F"/>
    <w:rsid w:val="00EF4A18"/>
    <w:rsid w:val="00F0018A"/>
    <w:rsid w:val="00F011A0"/>
    <w:rsid w:val="00F01541"/>
    <w:rsid w:val="00F023AF"/>
    <w:rsid w:val="00F0370D"/>
    <w:rsid w:val="00F05A98"/>
    <w:rsid w:val="00F05B44"/>
    <w:rsid w:val="00F07798"/>
    <w:rsid w:val="00F10F1F"/>
    <w:rsid w:val="00F12501"/>
    <w:rsid w:val="00F146CF"/>
    <w:rsid w:val="00F159FD"/>
    <w:rsid w:val="00F21C69"/>
    <w:rsid w:val="00F24021"/>
    <w:rsid w:val="00F257DE"/>
    <w:rsid w:val="00F26ECD"/>
    <w:rsid w:val="00F26F3A"/>
    <w:rsid w:val="00F27219"/>
    <w:rsid w:val="00F30524"/>
    <w:rsid w:val="00F315FB"/>
    <w:rsid w:val="00F31ABF"/>
    <w:rsid w:val="00F320BF"/>
    <w:rsid w:val="00F32831"/>
    <w:rsid w:val="00F33480"/>
    <w:rsid w:val="00F33A48"/>
    <w:rsid w:val="00F34942"/>
    <w:rsid w:val="00F37F25"/>
    <w:rsid w:val="00F40355"/>
    <w:rsid w:val="00F4119B"/>
    <w:rsid w:val="00F41343"/>
    <w:rsid w:val="00F427B8"/>
    <w:rsid w:val="00F43D7A"/>
    <w:rsid w:val="00F447CD"/>
    <w:rsid w:val="00F46249"/>
    <w:rsid w:val="00F462AA"/>
    <w:rsid w:val="00F4636D"/>
    <w:rsid w:val="00F46737"/>
    <w:rsid w:val="00F561F7"/>
    <w:rsid w:val="00F61D8A"/>
    <w:rsid w:val="00F622F5"/>
    <w:rsid w:val="00F62646"/>
    <w:rsid w:val="00F62E69"/>
    <w:rsid w:val="00F63CD0"/>
    <w:rsid w:val="00F6558C"/>
    <w:rsid w:val="00F65F08"/>
    <w:rsid w:val="00F714FD"/>
    <w:rsid w:val="00F71F04"/>
    <w:rsid w:val="00F74464"/>
    <w:rsid w:val="00F800DC"/>
    <w:rsid w:val="00F813D4"/>
    <w:rsid w:val="00F8149B"/>
    <w:rsid w:val="00F82188"/>
    <w:rsid w:val="00F862C8"/>
    <w:rsid w:val="00F86733"/>
    <w:rsid w:val="00F87B97"/>
    <w:rsid w:val="00F90BDA"/>
    <w:rsid w:val="00F90D58"/>
    <w:rsid w:val="00F91F1F"/>
    <w:rsid w:val="00F9267C"/>
    <w:rsid w:val="00F93FB2"/>
    <w:rsid w:val="00F95CC2"/>
    <w:rsid w:val="00F9677A"/>
    <w:rsid w:val="00FA14C0"/>
    <w:rsid w:val="00FA454E"/>
    <w:rsid w:val="00FA728C"/>
    <w:rsid w:val="00FA751E"/>
    <w:rsid w:val="00FB018D"/>
    <w:rsid w:val="00FB0BFC"/>
    <w:rsid w:val="00FB1884"/>
    <w:rsid w:val="00FB4905"/>
    <w:rsid w:val="00FB5E5D"/>
    <w:rsid w:val="00FB6F96"/>
    <w:rsid w:val="00FC012E"/>
    <w:rsid w:val="00FC2130"/>
    <w:rsid w:val="00FC33E6"/>
    <w:rsid w:val="00FC37A0"/>
    <w:rsid w:val="00FC517E"/>
    <w:rsid w:val="00FD11DA"/>
    <w:rsid w:val="00FD1600"/>
    <w:rsid w:val="00FD288C"/>
    <w:rsid w:val="00FD3E13"/>
    <w:rsid w:val="00FD437E"/>
    <w:rsid w:val="00FD4AC7"/>
    <w:rsid w:val="00FD5C9C"/>
    <w:rsid w:val="00FD627D"/>
    <w:rsid w:val="00FD77A9"/>
    <w:rsid w:val="00FD791E"/>
    <w:rsid w:val="00FE1217"/>
    <w:rsid w:val="00FF03EA"/>
    <w:rsid w:val="00FF37EB"/>
    <w:rsid w:val="00FF65F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D09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B01"/>
    <w:pPr>
      <w:spacing w:line="240" w:lineRule="auto"/>
    </w:pPr>
  </w:style>
  <w:style w:type="paragraph" w:styleId="Heading2">
    <w:name w:val="heading 2"/>
    <w:basedOn w:val="Normal"/>
    <w:link w:val="Heading2Char"/>
    <w:uiPriority w:val="9"/>
    <w:qFormat/>
    <w:rsid w:val="006D778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N w:val="0"/>
      <w:adjustRightInd w:val="0"/>
      <w:spacing w:after="0" w:line="240" w:lineRule="auto"/>
    </w:pPr>
    <w:rPr>
      <w:rFonts w:ascii="Times New Roman" w:eastAsia="Times New Roman" w:hAnsi="Times New Roman" w:cs="Times New Roman"/>
      <w:kern w:val="1"/>
      <w:sz w:val="24"/>
      <w:szCs w:val="24"/>
      <w:lang w:val="fr-FR" w:eastAsia="zh-CN" w:bidi="hi-IN"/>
    </w:rPr>
  </w:style>
  <w:style w:type="character" w:customStyle="1" w:styleId="NumberingSymbols">
    <w:name w:val="Numbering Symbols"/>
    <w:uiPriority w:val="99"/>
  </w:style>
  <w:style w:type="character" w:customStyle="1" w:styleId="InternetLink">
    <w:name w:val="Internet Link"/>
    <w:uiPriority w:val="99"/>
    <w:rPr>
      <w:color w:val="000080"/>
      <w:u w:val="single"/>
    </w:rPr>
  </w:style>
  <w:style w:type="character" w:customStyle="1" w:styleId="Bullets">
    <w:name w:val="Bullets"/>
    <w:uiPriority w:val="99"/>
    <w:rPr>
      <w:rFonts w:ascii="OpenSymbol" w:eastAsia="Times New Roman" w:hAnsi="OpenSymbol" w:cs="OpenSymbol"/>
    </w:rPr>
  </w:style>
  <w:style w:type="character" w:customStyle="1" w:styleId="FootnoteCharacters">
    <w:name w:val="Footnote Characters"/>
    <w:uiPriority w:val="99"/>
  </w:style>
  <w:style w:type="character" w:customStyle="1" w:styleId="Footnoteanchor">
    <w:name w:val="Footnote anchor"/>
    <w:uiPriority w:val="99"/>
    <w:rsid w:val="00152BDB"/>
    <w:rPr>
      <w:rFonts w:asciiTheme="minorHAnsi" w:hAnsiTheme="minorHAnsi"/>
      <w:position w:val="0"/>
      <w:sz w:val="20"/>
      <w:vertAlign w:val="superscript"/>
    </w:rPr>
  </w:style>
  <w:style w:type="character" w:customStyle="1" w:styleId="Endnoteanchor">
    <w:name w:val="Endnote anchor"/>
    <w:uiPriority w:val="99"/>
    <w:rPr>
      <w:position w:val="10"/>
    </w:rPr>
  </w:style>
  <w:style w:type="character" w:customStyle="1" w:styleId="EndnoteCharacters">
    <w:name w:val="Endnote Characters"/>
    <w:uiPriority w:val="99"/>
  </w:style>
  <w:style w:type="paragraph" w:customStyle="1" w:styleId="Heading">
    <w:name w:val="Heading"/>
    <w:basedOn w:val="Default"/>
    <w:next w:val="Textbody"/>
    <w:uiPriority w:val="99"/>
    <w:pPr>
      <w:keepNext/>
      <w:autoSpaceDE w:val="0"/>
      <w:spacing w:before="240" w:after="120"/>
    </w:pPr>
    <w:rPr>
      <w:rFonts w:ascii="Arial" w:hAnsi="Microsoft YaHei" w:cs="Arial"/>
      <w:kern w:val="0"/>
      <w:sz w:val="28"/>
      <w:szCs w:val="28"/>
      <w:lang w:val="en-GB" w:eastAsia="en-GB" w:bidi="ar-SA"/>
    </w:rPr>
  </w:style>
  <w:style w:type="paragraph" w:customStyle="1" w:styleId="Textbody">
    <w:name w:val="Text body"/>
    <w:basedOn w:val="Default"/>
    <w:uiPriority w:val="99"/>
    <w:pPr>
      <w:autoSpaceDE w:val="0"/>
      <w:spacing w:after="120"/>
    </w:pPr>
    <w:rPr>
      <w:rFonts w:eastAsiaTheme="minorEastAsia"/>
      <w:kern w:val="0"/>
      <w:lang w:val="en-GB" w:eastAsia="en-GB" w:bidi="ar-SA"/>
    </w:rPr>
  </w:style>
  <w:style w:type="paragraph" w:styleId="List">
    <w:name w:val="List"/>
    <w:basedOn w:val="Textbody"/>
    <w:uiPriority w:val="99"/>
    <w:rPr>
      <w:rFonts w:eastAsia="Times New Roman"/>
    </w:rPr>
  </w:style>
  <w:style w:type="paragraph" w:styleId="Caption">
    <w:name w:val="caption"/>
    <w:basedOn w:val="Default"/>
    <w:uiPriority w:val="99"/>
    <w:qFormat/>
    <w:pPr>
      <w:suppressLineNumbers/>
      <w:autoSpaceDE w:val="0"/>
      <w:spacing w:before="120" w:after="120"/>
    </w:pPr>
    <w:rPr>
      <w:i/>
      <w:iCs/>
      <w:kern w:val="0"/>
      <w:lang w:val="en-GB" w:eastAsia="en-GB" w:bidi="ar-SA"/>
    </w:rPr>
  </w:style>
  <w:style w:type="paragraph" w:customStyle="1" w:styleId="Index">
    <w:name w:val="Index"/>
    <w:basedOn w:val="Default"/>
    <w:uiPriority w:val="99"/>
    <w:pPr>
      <w:suppressLineNumbers/>
      <w:autoSpaceDE w:val="0"/>
    </w:pPr>
    <w:rPr>
      <w:kern w:val="0"/>
      <w:lang w:val="en-GB" w:eastAsia="en-GB" w:bidi="ar-SA"/>
    </w:rPr>
  </w:style>
  <w:style w:type="paragraph" w:customStyle="1" w:styleId="Footnote">
    <w:name w:val="Footnote"/>
    <w:basedOn w:val="Default"/>
    <w:uiPriority w:val="99"/>
    <w:rsid w:val="000344E1"/>
    <w:pPr>
      <w:suppressLineNumbers/>
      <w:autoSpaceDE w:val="0"/>
      <w:ind w:left="283" w:hanging="283"/>
    </w:pPr>
    <w:rPr>
      <w:rFonts w:asciiTheme="minorHAnsi" w:eastAsiaTheme="minorEastAsia" w:hAnsiTheme="minorHAnsi"/>
      <w:kern w:val="0"/>
      <w:sz w:val="20"/>
      <w:szCs w:val="20"/>
      <w:lang w:val="en-GB" w:eastAsia="en-GB" w:bidi="ar-SA"/>
    </w:rPr>
  </w:style>
  <w:style w:type="character" w:styleId="EndnoteReference">
    <w:name w:val="endnote reference"/>
    <w:basedOn w:val="DefaultParagraphFont"/>
    <w:uiPriority w:val="99"/>
    <w:semiHidden/>
    <w:unhideWhenUsed/>
    <w:rsid w:val="005A4A5E"/>
    <w:rPr>
      <w:vertAlign w:val="superscript"/>
    </w:rPr>
  </w:style>
  <w:style w:type="character" w:styleId="FootnoteReference">
    <w:name w:val="footnote reference"/>
    <w:basedOn w:val="DefaultParagraphFont"/>
    <w:uiPriority w:val="99"/>
    <w:unhideWhenUsed/>
    <w:rsid w:val="005A4A5E"/>
    <w:rPr>
      <w:vertAlign w:val="superscript"/>
    </w:rPr>
  </w:style>
  <w:style w:type="character" w:styleId="Strong">
    <w:name w:val="Strong"/>
    <w:basedOn w:val="DefaultParagraphFont"/>
    <w:uiPriority w:val="22"/>
    <w:qFormat/>
    <w:rsid w:val="00B17572"/>
    <w:rPr>
      <w:b/>
      <w:bCs/>
    </w:rPr>
  </w:style>
  <w:style w:type="paragraph" w:styleId="FootnoteText">
    <w:name w:val="footnote text"/>
    <w:basedOn w:val="Normal"/>
    <w:link w:val="FootnoteTextChar"/>
    <w:uiPriority w:val="99"/>
    <w:unhideWhenUsed/>
    <w:rsid w:val="00FE1217"/>
    <w:pPr>
      <w:spacing w:after="0"/>
    </w:pPr>
    <w:rPr>
      <w:sz w:val="20"/>
      <w:szCs w:val="20"/>
    </w:rPr>
  </w:style>
  <w:style w:type="character" w:customStyle="1" w:styleId="FootnoteTextChar">
    <w:name w:val="Footnote Text Char"/>
    <w:basedOn w:val="DefaultParagraphFont"/>
    <w:link w:val="FootnoteText"/>
    <w:uiPriority w:val="99"/>
    <w:rsid w:val="00FE1217"/>
    <w:rPr>
      <w:sz w:val="20"/>
      <w:szCs w:val="20"/>
    </w:rPr>
  </w:style>
  <w:style w:type="paragraph" w:customStyle="1" w:styleId="Standard">
    <w:name w:val="Standard"/>
    <w:rsid w:val="00AB58C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3F52A4"/>
    <w:rPr>
      <w:color w:val="0000FF" w:themeColor="hyperlink"/>
      <w:u w:val="single"/>
    </w:rPr>
  </w:style>
  <w:style w:type="character" w:customStyle="1" w:styleId="Heading2Char">
    <w:name w:val="Heading 2 Char"/>
    <w:basedOn w:val="DefaultParagraphFont"/>
    <w:link w:val="Heading2"/>
    <w:uiPriority w:val="9"/>
    <w:rsid w:val="006D778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4C4D9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D98"/>
    <w:rPr>
      <w:rFonts w:ascii="Lucida Grande" w:hAnsi="Lucida Grande" w:cs="Lucida Grande"/>
      <w:sz w:val="18"/>
      <w:szCs w:val="18"/>
    </w:rPr>
  </w:style>
  <w:style w:type="character" w:styleId="CommentReference">
    <w:name w:val="annotation reference"/>
    <w:basedOn w:val="DefaultParagraphFont"/>
    <w:uiPriority w:val="99"/>
    <w:semiHidden/>
    <w:unhideWhenUsed/>
    <w:rsid w:val="001620CB"/>
    <w:rPr>
      <w:sz w:val="18"/>
      <w:szCs w:val="18"/>
    </w:rPr>
  </w:style>
  <w:style w:type="paragraph" w:styleId="CommentText">
    <w:name w:val="annotation text"/>
    <w:basedOn w:val="Normal"/>
    <w:link w:val="CommentTextChar"/>
    <w:uiPriority w:val="99"/>
    <w:semiHidden/>
    <w:unhideWhenUsed/>
    <w:rsid w:val="001620CB"/>
    <w:rPr>
      <w:sz w:val="24"/>
      <w:szCs w:val="24"/>
    </w:rPr>
  </w:style>
  <w:style w:type="character" w:customStyle="1" w:styleId="CommentTextChar">
    <w:name w:val="Comment Text Char"/>
    <w:basedOn w:val="DefaultParagraphFont"/>
    <w:link w:val="CommentText"/>
    <w:uiPriority w:val="99"/>
    <w:semiHidden/>
    <w:rsid w:val="001620CB"/>
    <w:rPr>
      <w:sz w:val="24"/>
      <w:szCs w:val="24"/>
    </w:rPr>
  </w:style>
  <w:style w:type="paragraph" w:styleId="CommentSubject">
    <w:name w:val="annotation subject"/>
    <w:basedOn w:val="CommentText"/>
    <w:next w:val="CommentText"/>
    <w:link w:val="CommentSubjectChar"/>
    <w:uiPriority w:val="99"/>
    <w:semiHidden/>
    <w:unhideWhenUsed/>
    <w:rsid w:val="001620CB"/>
    <w:rPr>
      <w:b/>
      <w:bCs/>
      <w:sz w:val="20"/>
      <w:szCs w:val="20"/>
    </w:rPr>
  </w:style>
  <w:style w:type="character" w:customStyle="1" w:styleId="CommentSubjectChar">
    <w:name w:val="Comment Subject Char"/>
    <w:basedOn w:val="CommentTextChar"/>
    <w:link w:val="CommentSubject"/>
    <w:uiPriority w:val="99"/>
    <w:semiHidden/>
    <w:rsid w:val="001620CB"/>
    <w:rPr>
      <w:b/>
      <w:bCs/>
      <w:sz w:val="20"/>
      <w:szCs w:val="20"/>
    </w:rPr>
  </w:style>
  <w:style w:type="character" w:styleId="Emphasis">
    <w:name w:val="Emphasis"/>
    <w:basedOn w:val="DefaultParagraphFont"/>
    <w:uiPriority w:val="20"/>
    <w:qFormat/>
    <w:rsid w:val="00E24B5C"/>
    <w:rPr>
      <w:i/>
      <w:iCs/>
    </w:rPr>
  </w:style>
  <w:style w:type="character" w:customStyle="1" w:styleId="apple-converted-space">
    <w:name w:val="apple-converted-space"/>
    <w:basedOn w:val="DefaultParagraphFont"/>
    <w:rsid w:val="00E24B5C"/>
  </w:style>
  <w:style w:type="paragraph" w:styleId="Header">
    <w:name w:val="header"/>
    <w:basedOn w:val="Normal"/>
    <w:link w:val="HeaderChar"/>
    <w:uiPriority w:val="99"/>
    <w:unhideWhenUsed/>
    <w:rsid w:val="001E1BFF"/>
    <w:pPr>
      <w:tabs>
        <w:tab w:val="center" w:pos="4320"/>
        <w:tab w:val="right" w:pos="8640"/>
      </w:tabs>
      <w:spacing w:after="0"/>
    </w:pPr>
  </w:style>
  <w:style w:type="character" w:customStyle="1" w:styleId="HeaderChar">
    <w:name w:val="Header Char"/>
    <w:basedOn w:val="DefaultParagraphFont"/>
    <w:link w:val="Header"/>
    <w:uiPriority w:val="99"/>
    <w:rsid w:val="001E1BFF"/>
  </w:style>
  <w:style w:type="paragraph" w:styleId="Footer">
    <w:name w:val="footer"/>
    <w:basedOn w:val="Normal"/>
    <w:link w:val="FooterChar"/>
    <w:uiPriority w:val="99"/>
    <w:unhideWhenUsed/>
    <w:rsid w:val="001E1BFF"/>
    <w:pPr>
      <w:tabs>
        <w:tab w:val="center" w:pos="4320"/>
        <w:tab w:val="right" w:pos="8640"/>
      </w:tabs>
      <w:spacing w:after="0"/>
    </w:pPr>
  </w:style>
  <w:style w:type="character" w:customStyle="1" w:styleId="FooterChar">
    <w:name w:val="Footer Char"/>
    <w:basedOn w:val="DefaultParagraphFont"/>
    <w:link w:val="Footer"/>
    <w:uiPriority w:val="99"/>
    <w:rsid w:val="001E1BFF"/>
  </w:style>
  <w:style w:type="paragraph" w:styleId="ListParagraph">
    <w:name w:val="List Paragraph"/>
    <w:basedOn w:val="Normal"/>
    <w:uiPriority w:val="34"/>
    <w:qFormat/>
    <w:rsid w:val="00D531EC"/>
    <w:pPr>
      <w:ind w:left="720"/>
      <w:contextualSpacing/>
    </w:pPr>
  </w:style>
  <w:style w:type="paragraph" w:styleId="NormalWeb">
    <w:name w:val="Normal (Web)"/>
    <w:basedOn w:val="Normal"/>
    <w:uiPriority w:val="99"/>
    <w:unhideWhenUsed/>
    <w:rsid w:val="00387668"/>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9F2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920A3C"/>
  </w:style>
  <w:style w:type="character" w:customStyle="1" w:styleId="rwrr">
    <w:name w:val="rwrr"/>
    <w:basedOn w:val="DefaultParagraphFont"/>
    <w:rsid w:val="006C699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B01"/>
    <w:pPr>
      <w:spacing w:line="240" w:lineRule="auto"/>
    </w:pPr>
  </w:style>
  <w:style w:type="paragraph" w:styleId="Heading2">
    <w:name w:val="heading 2"/>
    <w:basedOn w:val="Normal"/>
    <w:link w:val="Heading2Char"/>
    <w:uiPriority w:val="9"/>
    <w:qFormat/>
    <w:rsid w:val="006D778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N w:val="0"/>
      <w:adjustRightInd w:val="0"/>
      <w:spacing w:after="0" w:line="240" w:lineRule="auto"/>
    </w:pPr>
    <w:rPr>
      <w:rFonts w:ascii="Times New Roman" w:eastAsia="Times New Roman" w:hAnsi="Times New Roman" w:cs="Times New Roman"/>
      <w:kern w:val="1"/>
      <w:sz w:val="24"/>
      <w:szCs w:val="24"/>
      <w:lang w:val="fr-FR" w:eastAsia="zh-CN" w:bidi="hi-IN"/>
    </w:rPr>
  </w:style>
  <w:style w:type="character" w:customStyle="1" w:styleId="NumberingSymbols">
    <w:name w:val="Numbering Symbols"/>
    <w:uiPriority w:val="99"/>
  </w:style>
  <w:style w:type="character" w:customStyle="1" w:styleId="InternetLink">
    <w:name w:val="Internet Link"/>
    <w:uiPriority w:val="99"/>
    <w:rPr>
      <w:color w:val="000080"/>
      <w:u w:val="single"/>
    </w:rPr>
  </w:style>
  <w:style w:type="character" w:customStyle="1" w:styleId="Bullets">
    <w:name w:val="Bullets"/>
    <w:uiPriority w:val="99"/>
    <w:rPr>
      <w:rFonts w:ascii="OpenSymbol" w:eastAsia="Times New Roman" w:hAnsi="OpenSymbol" w:cs="OpenSymbol"/>
    </w:rPr>
  </w:style>
  <w:style w:type="character" w:customStyle="1" w:styleId="FootnoteCharacters">
    <w:name w:val="Footnote Characters"/>
    <w:uiPriority w:val="99"/>
  </w:style>
  <w:style w:type="character" w:customStyle="1" w:styleId="Footnoteanchor">
    <w:name w:val="Footnote anchor"/>
    <w:uiPriority w:val="99"/>
    <w:rsid w:val="00152BDB"/>
    <w:rPr>
      <w:rFonts w:asciiTheme="minorHAnsi" w:hAnsiTheme="minorHAnsi"/>
      <w:position w:val="0"/>
      <w:sz w:val="20"/>
      <w:vertAlign w:val="superscript"/>
    </w:rPr>
  </w:style>
  <w:style w:type="character" w:customStyle="1" w:styleId="Endnoteanchor">
    <w:name w:val="Endnote anchor"/>
    <w:uiPriority w:val="99"/>
    <w:rPr>
      <w:position w:val="10"/>
    </w:rPr>
  </w:style>
  <w:style w:type="character" w:customStyle="1" w:styleId="EndnoteCharacters">
    <w:name w:val="Endnote Characters"/>
    <w:uiPriority w:val="99"/>
  </w:style>
  <w:style w:type="paragraph" w:customStyle="1" w:styleId="Heading">
    <w:name w:val="Heading"/>
    <w:basedOn w:val="Default"/>
    <w:next w:val="Textbody"/>
    <w:uiPriority w:val="99"/>
    <w:pPr>
      <w:keepNext/>
      <w:autoSpaceDE w:val="0"/>
      <w:spacing w:before="240" w:after="120"/>
    </w:pPr>
    <w:rPr>
      <w:rFonts w:ascii="Arial" w:hAnsi="Microsoft YaHei" w:cs="Arial"/>
      <w:kern w:val="0"/>
      <w:sz w:val="28"/>
      <w:szCs w:val="28"/>
      <w:lang w:val="en-GB" w:eastAsia="en-GB" w:bidi="ar-SA"/>
    </w:rPr>
  </w:style>
  <w:style w:type="paragraph" w:customStyle="1" w:styleId="Textbody">
    <w:name w:val="Text body"/>
    <w:basedOn w:val="Default"/>
    <w:uiPriority w:val="99"/>
    <w:pPr>
      <w:autoSpaceDE w:val="0"/>
      <w:spacing w:after="120"/>
    </w:pPr>
    <w:rPr>
      <w:rFonts w:eastAsiaTheme="minorEastAsia"/>
      <w:kern w:val="0"/>
      <w:lang w:val="en-GB" w:eastAsia="en-GB" w:bidi="ar-SA"/>
    </w:rPr>
  </w:style>
  <w:style w:type="paragraph" w:styleId="List">
    <w:name w:val="List"/>
    <w:basedOn w:val="Textbody"/>
    <w:uiPriority w:val="99"/>
    <w:rPr>
      <w:rFonts w:eastAsia="Times New Roman"/>
    </w:rPr>
  </w:style>
  <w:style w:type="paragraph" w:styleId="Caption">
    <w:name w:val="caption"/>
    <w:basedOn w:val="Default"/>
    <w:uiPriority w:val="99"/>
    <w:qFormat/>
    <w:pPr>
      <w:suppressLineNumbers/>
      <w:autoSpaceDE w:val="0"/>
      <w:spacing w:before="120" w:after="120"/>
    </w:pPr>
    <w:rPr>
      <w:i/>
      <w:iCs/>
      <w:kern w:val="0"/>
      <w:lang w:val="en-GB" w:eastAsia="en-GB" w:bidi="ar-SA"/>
    </w:rPr>
  </w:style>
  <w:style w:type="paragraph" w:customStyle="1" w:styleId="Index">
    <w:name w:val="Index"/>
    <w:basedOn w:val="Default"/>
    <w:uiPriority w:val="99"/>
    <w:pPr>
      <w:suppressLineNumbers/>
      <w:autoSpaceDE w:val="0"/>
    </w:pPr>
    <w:rPr>
      <w:kern w:val="0"/>
      <w:lang w:val="en-GB" w:eastAsia="en-GB" w:bidi="ar-SA"/>
    </w:rPr>
  </w:style>
  <w:style w:type="paragraph" w:customStyle="1" w:styleId="Footnote">
    <w:name w:val="Footnote"/>
    <w:basedOn w:val="Default"/>
    <w:uiPriority w:val="99"/>
    <w:rsid w:val="000344E1"/>
    <w:pPr>
      <w:suppressLineNumbers/>
      <w:autoSpaceDE w:val="0"/>
      <w:ind w:left="283" w:hanging="283"/>
    </w:pPr>
    <w:rPr>
      <w:rFonts w:asciiTheme="minorHAnsi" w:eastAsiaTheme="minorEastAsia" w:hAnsiTheme="minorHAnsi"/>
      <w:kern w:val="0"/>
      <w:sz w:val="20"/>
      <w:szCs w:val="20"/>
      <w:lang w:val="en-GB" w:eastAsia="en-GB" w:bidi="ar-SA"/>
    </w:rPr>
  </w:style>
  <w:style w:type="character" w:styleId="EndnoteReference">
    <w:name w:val="endnote reference"/>
    <w:basedOn w:val="DefaultParagraphFont"/>
    <w:uiPriority w:val="99"/>
    <w:semiHidden/>
    <w:unhideWhenUsed/>
    <w:rsid w:val="005A4A5E"/>
    <w:rPr>
      <w:vertAlign w:val="superscript"/>
    </w:rPr>
  </w:style>
  <w:style w:type="character" w:styleId="FootnoteReference">
    <w:name w:val="footnote reference"/>
    <w:basedOn w:val="DefaultParagraphFont"/>
    <w:uiPriority w:val="99"/>
    <w:unhideWhenUsed/>
    <w:rsid w:val="005A4A5E"/>
    <w:rPr>
      <w:vertAlign w:val="superscript"/>
    </w:rPr>
  </w:style>
  <w:style w:type="character" w:styleId="Strong">
    <w:name w:val="Strong"/>
    <w:basedOn w:val="DefaultParagraphFont"/>
    <w:uiPriority w:val="22"/>
    <w:qFormat/>
    <w:rsid w:val="00B17572"/>
    <w:rPr>
      <w:b/>
      <w:bCs/>
    </w:rPr>
  </w:style>
  <w:style w:type="paragraph" w:styleId="FootnoteText">
    <w:name w:val="footnote text"/>
    <w:basedOn w:val="Normal"/>
    <w:link w:val="FootnoteTextChar"/>
    <w:uiPriority w:val="99"/>
    <w:unhideWhenUsed/>
    <w:rsid w:val="00FE1217"/>
    <w:pPr>
      <w:spacing w:after="0"/>
    </w:pPr>
    <w:rPr>
      <w:sz w:val="20"/>
      <w:szCs w:val="20"/>
    </w:rPr>
  </w:style>
  <w:style w:type="character" w:customStyle="1" w:styleId="FootnoteTextChar">
    <w:name w:val="Footnote Text Char"/>
    <w:basedOn w:val="DefaultParagraphFont"/>
    <w:link w:val="FootnoteText"/>
    <w:uiPriority w:val="99"/>
    <w:rsid w:val="00FE1217"/>
    <w:rPr>
      <w:sz w:val="20"/>
      <w:szCs w:val="20"/>
    </w:rPr>
  </w:style>
  <w:style w:type="paragraph" w:customStyle="1" w:styleId="Standard">
    <w:name w:val="Standard"/>
    <w:rsid w:val="00AB58C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3F52A4"/>
    <w:rPr>
      <w:color w:val="0000FF" w:themeColor="hyperlink"/>
      <w:u w:val="single"/>
    </w:rPr>
  </w:style>
  <w:style w:type="character" w:customStyle="1" w:styleId="Heading2Char">
    <w:name w:val="Heading 2 Char"/>
    <w:basedOn w:val="DefaultParagraphFont"/>
    <w:link w:val="Heading2"/>
    <w:uiPriority w:val="9"/>
    <w:rsid w:val="006D778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4C4D9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D98"/>
    <w:rPr>
      <w:rFonts w:ascii="Lucida Grande" w:hAnsi="Lucida Grande" w:cs="Lucida Grande"/>
      <w:sz w:val="18"/>
      <w:szCs w:val="18"/>
    </w:rPr>
  </w:style>
  <w:style w:type="character" w:styleId="CommentReference">
    <w:name w:val="annotation reference"/>
    <w:basedOn w:val="DefaultParagraphFont"/>
    <w:uiPriority w:val="99"/>
    <w:semiHidden/>
    <w:unhideWhenUsed/>
    <w:rsid w:val="001620CB"/>
    <w:rPr>
      <w:sz w:val="18"/>
      <w:szCs w:val="18"/>
    </w:rPr>
  </w:style>
  <w:style w:type="paragraph" w:styleId="CommentText">
    <w:name w:val="annotation text"/>
    <w:basedOn w:val="Normal"/>
    <w:link w:val="CommentTextChar"/>
    <w:uiPriority w:val="99"/>
    <w:semiHidden/>
    <w:unhideWhenUsed/>
    <w:rsid w:val="001620CB"/>
    <w:rPr>
      <w:sz w:val="24"/>
      <w:szCs w:val="24"/>
    </w:rPr>
  </w:style>
  <w:style w:type="character" w:customStyle="1" w:styleId="CommentTextChar">
    <w:name w:val="Comment Text Char"/>
    <w:basedOn w:val="DefaultParagraphFont"/>
    <w:link w:val="CommentText"/>
    <w:uiPriority w:val="99"/>
    <w:semiHidden/>
    <w:rsid w:val="001620CB"/>
    <w:rPr>
      <w:sz w:val="24"/>
      <w:szCs w:val="24"/>
    </w:rPr>
  </w:style>
  <w:style w:type="paragraph" w:styleId="CommentSubject">
    <w:name w:val="annotation subject"/>
    <w:basedOn w:val="CommentText"/>
    <w:next w:val="CommentText"/>
    <w:link w:val="CommentSubjectChar"/>
    <w:uiPriority w:val="99"/>
    <w:semiHidden/>
    <w:unhideWhenUsed/>
    <w:rsid w:val="001620CB"/>
    <w:rPr>
      <w:b/>
      <w:bCs/>
      <w:sz w:val="20"/>
      <w:szCs w:val="20"/>
    </w:rPr>
  </w:style>
  <w:style w:type="character" w:customStyle="1" w:styleId="CommentSubjectChar">
    <w:name w:val="Comment Subject Char"/>
    <w:basedOn w:val="CommentTextChar"/>
    <w:link w:val="CommentSubject"/>
    <w:uiPriority w:val="99"/>
    <w:semiHidden/>
    <w:rsid w:val="001620CB"/>
    <w:rPr>
      <w:b/>
      <w:bCs/>
      <w:sz w:val="20"/>
      <w:szCs w:val="20"/>
    </w:rPr>
  </w:style>
  <w:style w:type="character" w:styleId="Emphasis">
    <w:name w:val="Emphasis"/>
    <w:basedOn w:val="DefaultParagraphFont"/>
    <w:uiPriority w:val="20"/>
    <w:qFormat/>
    <w:rsid w:val="00E24B5C"/>
    <w:rPr>
      <w:i/>
      <w:iCs/>
    </w:rPr>
  </w:style>
  <w:style w:type="character" w:customStyle="1" w:styleId="apple-converted-space">
    <w:name w:val="apple-converted-space"/>
    <w:basedOn w:val="DefaultParagraphFont"/>
    <w:rsid w:val="00E24B5C"/>
  </w:style>
  <w:style w:type="paragraph" w:styleId="Header">
    <w:name w:val="header"/>
    <w:basedOn w:val="Normal"/>
    <w:link w:val="HeaderChar"/>
    <w:uiPriority w:val="99"/>
    <w:unhideWhenUsed/>
    <w:rsid w:val="001E1BFF"/>
    <w:pPr>
      <w:tabs>
        <w:tab w:val="center" w:pos="4320"/>
        <w:tab w:val="right" w:pos="8640"/>
      </w:tabs>
      <w:spacing w:after="0"/>
    </w:pPr>
  </w:style>
  <w:style w:type="character" w:customStyle="1" w:styleId="HeaderChar">
    <w:name w:val="Header Char"/>
    <w:basedOn w:val="DefaultParagraphFont"/>
    <w:link w:val="Header"/>
    <w:uiPriority w:val="99"/>
    <w:rsid w:val="001E1BFF"/>
  </w:style>
  <w:style w:type="paragraph" w:styleId="Footer">
    <w:name w:val="footer"/>
    <w:basedOn w:val="Normal"/>
    <w:link w:val="FooterChar"/>
    <w:uiPriority w:val="99"/>
    <w:unhideWhenUsed/>
    <w:rsid w:val="001E1BFF"/>
    <w:pPr>
      <w:tabs>
        <w:tab w:val="center" w:pos="4320"/>
        <w:tab w:val="right" w:pos="8640"/>
      </w:tabs>
      <w:spacing w:after="0"/>
    </w:pPr>
  </w:style>
  <w:style w:type="character" w:customStyle="1" w:styleId="FooterChar">
    <w:name w:val="Footer Char"/>
    <w:basedOn w:val="DefaultParagraphFont"/>
    <w:link w:val="Footer"/>
    <w:uiPriority w:val="99"/>
    <w:rsid w:val="001E1BFF"/>
  </w:style>
  <w:style w:type="paragraph" w:styleId="ListParagraph">
    <w:name w:val="List Paragraph"/>
    <w:basedOn w:val="Normal"/>
    <w:uiPriority w:val="34"/>
    <w:qFormat/>
    <w:rsid w:val="00D531EC"/>
    <w:pPr>
      <w:ind w:left="720"/>
      <w:contextualSpacing/>
    </w:pPr>
  </w:style>
  <w:style w:type="paragraph" w:styleId="NormalWeb">
    <w:name w:val="Normal (Web)"/>
    <w:basedOn w:val="Normal"/>
    <w:uiPriority w:val="99"/>
    <w:unhideWhenUsed/>
    <w:rsid w:val="00387668"/>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9F2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920A3C"/>
  </w:style>
  <w:style w:type="character" w:customStyle="1" w:styleId="rwrr">
    <w:name w:val="rwrr"/>
    <w:basedOn w:val="DefaultParagraphFont"/>
    <w:rsid w:val="006C6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1690">
      <w:bodyDiv w:val="1"/>
      <w:marLeft w:val="0"/>
      <w:marRight w:val="0"/>
      <w:marTop w:val="0"/>
      <w:marBottom w:val="0"/>
      <w:divBdr>
        <w:top w:val="none" w:sz="0" w:space="0" w:color="auto"/>
        <w:left w:val="none" w:sz="0" w:space="0" w:color="auto"/>
        <w:bottom w:val="none" w:sz="0" w:space="0" w:color="auto"/>
        <w:right w:val="none" w:sz="0" w:space="0" w:color="auto"/>
      </w:divBdr>
    </w:div>
    <w:div w:id="117724388">
      <w:bodyDiv w:val="1"/>
      <w:marLeft w:val="0"/>
      <w:marRight w:val="0"/>
      <w:marTop w:val="0"/>
      <w:marBottom w:val="0"/>
      <w:divBdr>
        <w:top w:val="none" w:sz="0" w:space="0" w:color="auto"/>
        <w:left w:val="none" w:sz="0" w:space="0" w:color="auto"/>
        <w:bottom w:val="none" w:sz="0" w:space="0" w:color="auto"/>
        <w:right w:val="none" w:sz="0" w:space="0" w:color="auto"/>
      </w:divBdr>
    </w:div>
    <w:div w:id="174157501">
      <w:bodyDiv w:val="1"/>
      <w:marLeft w:val="0"/>
      <w:marRight w:val="0"/>
      <w:marTop w:val="0"/>
      <w:marBottom w:val="0"/>
      <w:divBdr>
        <w:top w:val="none" w:sz="0" w:space="0" w:color="auto"/>
        <w:left w:val="none" w:sz="0" w:space="0" w:color="auto"/>
        <w:bottom w:val="none" w:sz="0" w:space="0" w:color="auto"/>
        <w:right w:val="none" w:sz="0" w:space="0" w:color="auto"/>
      </w:divBdr>
    </w:div>
    <w:div w:id="331031232">
      <w:bodyDiv w:val="1"/>
      <w:marLeft w:val="0"/>
      <w:marRight w:val="0"/>
      <w:marTop w:val="0"/>
      <w:marBottom w:val="0"/>
      <w:divBdr>
        <w:top w:val="none" w:sz="0" w:space="0" w:color="auto"/>
        <w:left w:val="none" w:sz="0" w:space="0" w:color="auto"/>
        <w:bottom w:val="none" w:sz="0" w:space="0" w:color="auto"/>
        <w:right w:val="none" w:sz="0" w:space="0" w:color="auto"/>
      </w:divBdr>
    </w:div>
    <w:div w:id="447965707">
      <w:bodyDiv w:val="1"/>
      <w:marLeft w:val="0"/>
      <w:marRight w:val="0"/>
      <w:marTop w:val="0"/>
      <w:marBottom w:val="0"/>
      <w:divBdr>
        <w:top w:val="none" w:sz="0" w:space="0" w:color="auto"/>
        <w:left w:val="none" w:sz="0" w:space="0" w:color="auto"/>
        <w:bottom w:val="none" w:sz="0" w:space="0" w:color="auto"/>
        <w:right w:val="none" w:sz="0" w:space="0" w:color="auto"/>
      </w:divBdr>
    </w:div>
    <w:div w:id="469442646">
      <w:bodyDiv w:val="1"/>
      <w:marLeft w:val="0"/>
      <w:marRight w:val="0"/>
      <w:marTop w:val="0"/>
      <w:marBottom w:val="0"/>
      <w:divBdr>
        <w:top w:val="none" w:sz="0" w:space="0" w:color="auto"/>
        <w:left w:val="none" w:sz="0" w:space="0" w:color="auto"/>
        <w:bottom w:val="none" w:sz="0" w:space="0" w:color="auto"/>
        <w:right w:val="none" w:sz="0" w:space="0" w:color="auto"/>
      </w:divBdr>
    </w:div>
    <w:div w:id="572661953">
      <w:bodyDiv w:val="1"/>
      <w:marLeft w:val="0"/>
      <w:marRight w:val="0"/>
      <w:marTop w:val="0"/>
      <w:marBottom w:val="0"/>
      <w:divBdr>
        <w:top w:val="none" w:sz="0" w:space="0" w:color="auto"/>
        <w:left w:val="none" w:sz="0" w:space="0" w:color="auto"/>
        <w:bottom w:val="none" w:sz="0" w:space="0" w:color="auto"/>
        <w:right w:val="none" w:sz="0" w:space="0" w:color="auto"/>
      </w:divBdr>
    </w:div>
    <w:div w:id="639573175">
      <w:bodyDiv w:val="1"/>
      <w:marLeft w:val="0"/>
      <w:marRight w:val="0"/>
      <w:marTop w:val="0"/>
      <w:marBottom w:val="0"/>
      <w:divBdr>
        <w:top w:val="none" w:sz="0" w:space="0" w:color="auto"/>
        <w:left w:val="none" w:sz="0" w:space="0" w:color="auto"/>
        <w:bottom w:val="none" w:sz="0" w:space="0" w:color="auto"/>
        <w:right w:val="none" w:sz="0" w:space="0" w:color="auto"/>
      </w:divBdr>
    </w:div>
    <w:div w:id="685521681">
      <w:bodyDiv w:val="1"/>
      <w:marLeft w:val="0"/>
      <w:marRight w:val="0"/>
      <w:marTop w:val="0"/>
      <w:marBottom w:val="0"/>
      <w:divBdr>
        <w:top w:val="none" w:sz="0" w:space="0" w:color="auto"/>
        <w:left w:val="none" w:sz="0" w:space="0" w:color="auto"/>
        <w:bottom w:val="none" w:sz="0" w:space="0" w:color="auto"/>
        <w:right w:val="none" w:sz="0" w:space="0" w:color="auto"/>
      </w:divBdr>
    </w:div>
    <w:div w:id="842814526">
      <w:bodyDiv w:val="1"/>
      <w:marLeft w:val="0"/>
      <w:marRight w:val="0"/>
      <w:marTop w:val="0"/>
      <w:marBottom w:val="0"/>
      <w:divBdr>
        <w:top w:val="none" w:sz="0" w:space="0" w:color="auto"/>
        <w:left w:val="none" w:sz="0" w:space="0" w:color="auto"/>
        <w:bottom w:val="none" w:sz="0" w:space="0" w:color="auto"/>
        <w:right w:val="none" w:sz="0" w:space="0" w:color="auto"/>
      </w:divBdr>
    </w:div>
    <w:div w:id="869413179">
      <w:bodyDiv w:val="1"/>
      <w:marLeft w:val="0"/>
      <w:marRight w:val="0"/>
      <w:marTop w:val="0"/>
      <w:marBottom w:val="0"/>
      <w:divBdr>
        <w:top w:val="none" w:sz="0" w:space="0" w:color="auto"/>
        <w:left w:val="none" w:sz="0" w:space="0" w:color="auto"/>
        <w:bottom w:val="none" w:sz="0" w:space="0" w:color="auto"/>
        <w:right w:val="none" w:sz="0" w:space="0" w:color="auto"/>
      </w:divBdr>
    </w:div>
    <w:div w:id="923611506">
      <w:bodyDiv w:val="1"/>
      <w:marLeft w:val="0"/>
      <w:marRight w:val="0"/>
      <w:marTop w:val="0"/>
      <w:marBottom w:val="0"/>
      <w:divBdr>
        <w:top w:val="none" w:sz="0" w:space="0" w:color="auto"/>
        <w:left w:val="none" w:sz="0" w:space="0" w:color="auto"/>
        <w:bottom w:val="none" w:sz="0" w:space="0" w:color="auto"/>
        <w:right w:val="none" w:sz="0" w:space="0" w:color="auto"/>
      </w:divBdr>
    </w:div>
    <w:div w:id="977221866">
      <w:bodyDiv w:val="1"/>
      <w:marLeft w:val="0"/>
      <w:marRight w:val="0"/>
      <w:marTop w:val="0"/>
      <w:marBottom w:val="0"/>
      <w:divBdr>
        <w:top w:val="none" w:sz="0" w:space="0" w:color="auto"/>
        <w:left w:val="none" w:sz="0" w:space="0" w:color="auto"/>
        <w:bottom w:val="none" w:sz="0" w:space="0" w:color="auto"/>
        <w:right w:val="none" w:sz="0" w:space="0" w:color="auto"/>
      </w:divBdr>
    </w:div>
    <w:div w:id="992831897">
      <w:bodyDiv w:val="1"/>
      <w:marLeft w:val="0"/>
      <w:marRight w:val="0"/>
      <w:marTop w:val="0"/>
      <w:marBottom w:val="0"/>
      <w:divBdr>
        <w:top w:val="none" w:sz="0" w:space="0" w:color="auto"/>
        <w:left w:val="none" w:sz="0" w:space="0" w:color="auto"/>
        <w:bottom w:val="none" w:sz="0" w:space="0" w:color="auto"/>
        <w:right w:val="none" w:sz="0" w:space="0" w:color="auto"/>
      </w:divBdr>
    </w:div>
    <w:div w:id="1163548745">
      <w:bodyDiv w:val="1"/>
      <w:marLeft w:val="0"/>
      <w:marRight w:val="0"/>
      <w:marTop w:val="0"/>
      <w:marBottom w:val="0"/>
      <w:divBdr>
        <w:top w:val="none" w:sz="0" w:space="0" w:color="auto"/>
        <w:left w:val="none" w:sz="0" w:space="0" w:color="auto"/>
        <w:bottom w:val="none" w:sz="0" w:space="0" w:color="auto"/>
        <w:right w:val="none" w:sz="0" w:space="0" w:color="auto"/>
      </w:divBdr>
    </w:div>
    <w:div w:id="1193374391">
      <w:bodyDiv w:val="1"/>
      <w:marLeft w:val="0"/>
      <w:marRight w:val="0"/>
      <w:marTop w:val="0"/>
      <w:marBottom w:val="0"/>
      <w:divBdr>
        <w:top w:val="none" w:sz="0" w:space="0" w:color="auto"/>
        <w:left w:val="none" w:sz="0" w:space="0" w:color="auto"/>
        <w:bottom w:val="none" w:sz="0" w:space="0" w:color="auto"/>
        <w:right w:val="none" w:sz="0" w:space="0" w:color="auto"/>
      </w:divBdr>
    </w:div>
    <w:div w:id="1287666186">
      <w:bodyDiv w:val="1"/>
      <w:marLeft w:val="0"/>
      <w:marRight w:val="0"/>
      <w:marTop w:val="0"/>
      <w:marBottom w:val="0"/>
      <w:divBdr>
        <w:top w:val="none" w:sz="0" w:space="0" w:color="auto"/>
        <w:left w:val="none" w:sz="0" w:space="0" w:color="auto"/>
        <w:bottom w:val="none" w:sz="0" w:space="0" w:color="auto"/>
        <w:right w:val="none" w:sz="0" w:space="0" w:color="auto"/>
      </w:divBdr>
    </w:div>
    <w:div w:id="1465736120">
      <w:bodyDiv w:val="1"/>
      <w:marLeft w:val="0"/>
      <w:marRight w:val="0"/>
      <w:marTop w:val="0"/>
      <w:marBottom w:val="0"/>
      <w:divBdr>
        <w:top w:val="none" w:sz="0" w:space="0" w:color="auto"/>
        <w:left w:val="none" w:sz="0" w:space="0" w:color="auto"/>
        <w:bottom w:val="none" w:sz="0" w:space="0" w:color="auto"/>
        <w:right w:val="none" w:sz="0" w:space="0" w:color="auto"/>
      </w:divBdr>
    </w:div>
    <w:div w:id="1507162363">
      <w:bodyDiv w:val="1"/>
      <w:marLeft w:val="0"/>
      <w:marRight w:val="0"/>
      <w:marTop w:val="0"/>
      <w:marBottom w:val="0"/>
      <w:divBdr>
        <w:top w:val="none" w:sz="0" w:space="0" w:color="auto"/>
        <w:left w:val="none" w:sz="0" w:space="0" w:color="auto"/>
        <w:bottom w:val="none" w:sz="0" w:space="0" w:color="auto"/>
        <w:right w:val="none" w:sz="0" w:space="0" w:color="auto"/>
      </w:divBdr>
    </w:div>
    <w:div w:id="1576893640">
      <w:bodyDiv w:val="1"/>
      <w:marLeft w:val="0"/>
      <w:marRight w:val="0"/>
      <w:marTop w:val="0"/>
      <w:marBottom w:val="0"/>
      <w:divBdr>
        <w:top w:val="none" w:sz="0" w:space="0" w:color="auto"/>
        <w:left w:val="none" w:sz="0" w:space="0" w:color="auto"/>
        <w:bottom w:val="none" w:sz="0" w:space="0" w:color="auto"/>
        <w:right w:val="none" w:sz="0" w:space="0" w:color="auto"/>
      </w:divBdr>
    </w:div>
    <w:div w:id="1864322430">
      <w:bodyDiv w:val="1"/>
      <w:marLeft w:val="0"/>
      <w:marRight w:val="0"/>
      <w:marTop w:val="0"/>
      <w:marBottom w:val="0"/>
      <w:divBdr>
        <w:top w:val="none" w:sz="0" w:space="0" w:color="auto"/>
        <w:left w:val="none" w:sz="0" w:space="0" w:color="auto"/>
        <w:bottom w:val="none" w:sz="0" w:space="0" w:color="auto"/>
        <w:right w:val="none" w:sz="0" w:space="0" w:color="auto"/>
      </w:divBdr>
    </w:div>
    <w:div w:id="1944343478">
      <w:bodyDiv w:val="1"/>
      <w:marLeft w:val="0"/>
      <w:marRight w:val="0"/>
      <w:marTop w:val="0"/>
      <w:marBottom w:val="0"/>
      <w:divBdr>
        <w:top w:val="none" w:sz="0" w:space="0" w:color="auto"/>
        <w:left w:val="none" w:sz="0" w:space="0" w:color="auto"/>
        <w:bottom w:val="none" w:sz="0" w:space="0" w:color="auto"/>
        <w:right w:val="none" w:sz="0" w:space="0" w:color="auto"/>
      </w:divBdr>
    </w:div>
    <w:div w:id="1976982954">
      <w:bodyDiv w:val="1"/>
      <w:marLeft w:val="0"/>
      <w:marRight w:val="0"/>
      <w:marTop w:val="0"/>
      <w:marBottom w:val="0"/>
      <w:divBdr>
        <w:top w:val="none" w:sz="0" w:space="0" w:color="auto"/>
        <w:left w:val="none" w:sz="0" w:space="0" w:color="auto"/>
        <w:bottom w:val="none" w:sz="0" w:space="0" w:color="auto"/>
        <w:right w:val="none" w:sz="0" w:space="0" w:color="auto"/>
      </w:divBdr>
    </w:div>
    <w:div w:id="203413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rtin.kretschmer@glasgow.ac.uk" TargetMode="External"/><Relationship Id="rId20" Type="http://schemas.openxmlformats.org/officeDocument/2006/relationships/image" Target="media/image10.emf"/><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7" Type="http://schemas.microsoft.com/office/2011/relationships/people" Target="people.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chart" Target="charts/chart1.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register.consilium.europa.eu/pdf/en/08/st06/st06655-re07.en08.pdf" TargetMode="External"/><Relationship Id="rId4" Type="http://schemas.openxmlformats.org/officeDocument/2006/relationships/hyperlink" Target="http://www.richtervereinigung.at/international/eurojus1/eurojus15a.htm" TargetMode="External"/><Relationship Id="rId5" Type="http://schemas.openxmlformats.org/officeDocument/2006/relationships/hyperlink" Target="http://register.consilium.europa.eu/pdf/en/08/st06/st06655-re07.en08.pdf" TargetMode="External"/><Relationship Id="rId6" Type="http://schemas.openxmlformats.org/officeDocument/2006/relationships/hyperlink" Target="http://curia.europa.eu/jcms/jcms/Jo2_7026/" TargetMode="External"/><Relationship Id="rId1" Type="http://schemas.openxmlformats.org/officeDocument/2006/relationships/hyperlink" Target="http://eur-lex.europa.eu/LexUriServ/LexUriServ.do?uri=OJ:L:2012:265:0001:0042:EN:PDF" TargetMode="External"/><Relationship Id="rId2" Type="http://schemas.openxmlformats.org/officeDocument/2006/relationships/hyperlink" Target="http://register.consilium.europa.eu/pdf/en/08/st06/st06655-re07.en08.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ello%20favale\Dropbox\ECJ%20Project\ECJ%20Project%20-SHARED\Statistical%20data\Profile%20of%20Court%20Memb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Profiles!$P$29</c:f>
              <c:strCache>
                <c:ptCount val="1"/>
                <c:pt idx="0">
                  <c:v>Percentage</c:v>
                </c:pt>
              </c:strCache>
            </c:strRef>
          </c:tx>
          <c:invertIfNegative val="0"/>
          <c:cat>
            <c:strRef>
              <c:f>Profiles!$N$30:$N$38</c:f>
              <c:strCache>
                <c:ptCount val="9"/>
                <c:pt idx="0">
                  <c:v>ECHR</c:v>
                </c:pt>
                <c:pt idx="1">
                  <c:v>TRIBUNAL EU (prev.CFI)</c:v>
                </c:pt>
                <c:pt idx="2">
                  <c:v>REFERENDAIRE</c:v>
                </c:pt>
                <c:pt idx="3">
                  <c:v>COMMISSION</c:v>
                </c:pt>
                <c:pt idx="4">
                  <c:v>DELEGATIONS</c:v>
                </c:pt>
                <c:pt idx="5">
                  <c:v>ADVOCATE GENERAL</c:v>
                </c:pt>
                <c:pt idx="6">
                  <c:v>COMM. VENICE</c:v>
                </c:pt>
                <c:pt idx="7">
                  <c:v>COUNCIL</c:v>
                </c:pt>
                <c:pt idx="8">
                  <c:v>PARLIAMENT</c:v>
                </c:pt>
              </c:strCache>
            </c:strRef>
          </c:cat>
          <c:val>
            <c:numRef>
              <c:f>Profiles!$P$30:$P$38</c:f>
              <c:numCache>
                <c:formatCode>0%</c:formatCode>
                <c:ptCount val="9"/>
                <c:pt idx="0">
                  <c:v>0.25</c:v>
                </c:pt>
                <c:pt idx="1">
                  <c:v>0.214285714285714</c:v>
                </c:pt>
                <c:pt idx="2">
                  <c:v>0.142857142857143</c:v>
                </c:pt>
                <c:pt idx="3">
                  <c:v>0.107142857142857</c:v>
                </c:pt>
                <c:pt idx="4">
                  <c:v>0.0714285714285714</c:v>
                </c:pt>
                <c:pt idx="5">
                  <c:v>0.0714285714285714</c:v>
                </c:pt>
                <c:pt idx="6">
                  <c:v>0.0714285714285714</c:v>
                </c:pt>
                <c:pt idx="7">
                  <c:v>0.0357142857142857</c:v>
                </c:pt>
                <c:pt idx="8">
                  <c:v>0.0357142857142857</c:v>
                </c:pt>
              </c:numCache>
            </c:numRef>
          </c:val>
        </c:ser>
        <c:dLbls>
          <c:showLegendKey val="0"/>
          <c:showVal val="0"/>
          <c:showCatName val="0"/>
          <c:showSerName val="0"/>
          <c:showPercent val="0"/>
          <c:showBubbleSize val="0"/>
        </c:dLbls>
        <c:gapWidth val="150"/>
        <c:shape val="box"/>
        <c:axId val="2109899480"/>
        <c:axId val="2072404328"/>
        <c:axId val="0"/>
      </c:bar3DChart>
      <c:catAx>
        <c:axId val="2109899480"/>
        <c:scaling>
          <c:orientation val="minMax"/>
        </c:scaling>
        <c:delete val="0"/>
        <c:axPos val="b"/>
        <c:numFmt formatCode="General" sourceLinked="0"/>
        <c:majorTickMark val="out"/>
        <c:minorTickMark val="none"/>
        <c:tickLblPos val="nextTo"/>
        <c:txPr>
          <a:bodyPr/>
          <a:lstStyle/>
          <a:p>
            <a:pPr>
              <a:defRPr lang="it-IT"/>
            </a:pPr>
            <a:endParaRPr lang="en-US"/>
          </a:p>
        </c:txPr>
        <c:crossAx val="2072404328"/>
        <c:crosses val="autoZero"/>
        <c:auto val="1"/>
        <c:lblAlgn val="ctr"/>
        <c:lblOffset val="100"/>
        <c:noMultiLvlLbl val="0"/>
      </c:catAx>
      <c:valAx>
        <c:axId val="2072404328"/>
        <c:scaling>
          <c:orientation val="minMax"/>
        </c:scaling>
        <c:delete val="0"/>
        <c:axPos val="l"/>
        <c:majorGridlines>
          <c:spPr>
            <a:ln>
              <a:solidFill>
                <a:schemeClr val="tx1"/>
              </a:solidFill>
            </a:ln>
          </c:spPr>
        </c:majorGridlines>
        <c:numFmt formatCode="0%" sourceLinked="1"/>
        <c:majorTickMark val="out"/>
        <c:minorTickMark val="none"/>
        <c:tickLblPos val="nextTo"/>
        <c:txPr>
          <a:bodyPr/>
          <a:lstStyle/>
          <a:p>
            <a:pPr>
              <a:defRPr lang="it-IT"/>
            </a:pPr>
            <a:endParaRPr lang="en-US"/>
          </a:p>
        </c:txPr>
        <c:crossAx val="2109899480"/>
        <c:crosses val="autoZero"/>
        <c:crossBetween val="between"/>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473E6-DD6D-7C4C-BBE0-05B8F8920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39</Pages>
  <Words>13600</Words>
  <Characters>77522</Characters>
  <Application>Microsoft Macintosh Word</Application>
  <DocSecurity>0</DocSecurity>
  <Lines>646</Lines>
  <Paragraphs>181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Company>
  <LinksUpToDate>false</LinksUpToDate>
  <CharactersWithSpaces>90941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f</dc:creator>
  <cp:lastModifiedBy>Martin</cp:lastModifiedBy>
  <cp:revision>9</cp:revision>
  <cp:lastPrinted>2015-08-13T16:02:00Z</cp:lastPrinted>
  <dcterms:created xsi:type="dcterms:W3CDTF">2015-08-06T10:39:00Z</dcterms:created>
  <dcterms:modified xsi:type="dcterms:W3CDTF">2015-08-13T16:08:00Z</dcterms:modified>
</cp:coreProperties>
</file>